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C4F" w:rsidRPr="00190B3B" w:rsidRDefault="00512C4F" w:rsidP="00512C4F">
      <w:pPr>
        <w:spacing w:line="360" w:lineRule="auto"/>
        <w:jc w:val="center"/>
        <w:rPr>
          <w:rFonts w:ascii="Times New Roman" w:hAnsi="Times New Roman" w:cs="Times New Roman"/>
          <w:b/>
          <w:bCs/>
          <w:sz w:val="24"/>
          <w:szCs w:val="24"/>
        </w:rPr>
      </w:pPr>
      <w:r w:rsidRPr="00190B3B">
        <w:rPr>
          <w:rFonts w:ascii="Times New Roman" w:hAnsi="Times New Roman" w:cs="Times New Roman"/>
          <w:b/>
          <w:bCs/>
          <w:sz w:val="24"/>
          <w:szCs w:val="24"/>
        </w:rPr>
        <w:t>CHOICE OF FOREIGN FORUM FOR COMMERCIAL ARBITRATION IN ADMIRALTY CONTRACT IN NIGERIA, UNITED KINGDOM, CANADA AND UNITED STATES OF AMERICA</w:t>
      </w:r>
    </w:p>
    <w:p w:rsidR="00512C4F" w:rsidRPr="00190B3B" w:rsidRDefault="00512C4F" w:rsidP="00512C4F">
      <w:pPr>
        <w:pStyle w:val="FootnoteText"/>
        <w:spacing w:line="480" w:lineRule="auto"/>
        <w:jc w:val="center"/>
        <w:rPr>
          <w:rStyle w:val="Hyperlink"/>
          <w:rFonts w:ascii="Times New Roman" w:hAnsi="Times New Roman" w:cs="Times New Roman"/>
          <w:b/>
          <w:bCs/>
          <w:sz w:val="24"/>
          <w:szCs w:val="24"/>
        </w:rPr>
      </w:pPr>
      <w:r w:rsidRPr="00190B3B">
        <w:rPr>
          <w:rFonts w:ascii="Times New Roman" w:hAnsi="Times New Roman" w:cs="Times New Roman"/>
          <w:b/>
          <w:bCs/>
          <w:sz w:val="24"/>
          <w:szCs w:val="24"/>
        </w:rPr>
        <w:t>Fabian C. Ikeh, PhD</w:t>
      </w:r>
      <w:r w:rsidRPr="00190B3B">
        <w:rPr>
          <w:rStyle w:val="FootnoteReference"/>
          <w:rFonts w:ascii="Times New Roman" w:hAnsi="Times New Roman" w:cs="Times New Roman"/>
          <w:b/>
          <w:bCs/>
          <w:sz w:val="24"/>
          <w:szCs w:val="24"/>
        </w:rPr>
        <w:footnoteReference w:customMarkFollows="1" w:id="2"/>
        <w:t>*</w:t>
      </w:r>
    </w:p>
    <w:p w:rsidR="00512C4F" w:rsidRPr="00190B3B" w:rsidRDefault="00512C4F" w:rsidP="00512C4F">
      <w:pPr>
        <w:spacing w:after="240" w:line="480" w:lineRule="auto"/>
        <w:jc w:val="both"/>
        <w:rPr>
          <w:rFonts w:ascii="Times New Roman" w:hAnsi="Times New Roman" w:cs="Times New Roman"/>
          <w:b/>
          <w:bCs/>
          <w:sz w:val="24"/>
          <w:szCs w:val="24"/>
        </w:rPr>
      </w:pPr>
      <w:r w:rsidRPr="00190B3B">
        <w:rPr>
          <w:rFonts w:ascii="Times New Roman" w:hAnsi="Times New Roman" w:cs="Times New Roman"/>
          <w:b/>
          <w:bCs/>
          <w:sz w:val="24"/>
          <w:szCs w:val="24"/>
        </w:rPr>
        <w:t>ABSTRACT</w:t>
      </w:r>
    </w:p>
    <w:p w:rsidR="00512C4F" w:rsidRPr="00190B3B" w:rsidRDefault="00512C4F" w:rsidP="00512C4F">
      <w:pPr>
        <w:spacing w:after="240" w:line="240" w:lineRule="auto"/>
        <w:ind w:left="720" w:right="566"/>
        <w:jc w:val="both"/>
        <w:rPr>
          <w:rFonts w:ascii="Times New Roman" w:hAnsi="Times New Roman" w:cs="Times New Roman"/>
          <w:sz w:val="24"/>
          <w:szCs w:val="24"/>
        </w:rPr>
      </w:pPr>
      <w:r w:rsidRPr="00190B3B">
        <w:rPr>
          <w:rFonts w:ascii="Times New Roman" w:hAnsi="Times New Roman" w:cs="Times New Roman"/>
          <w:sz w:val="24"/>
          <w:szCs w:val="24"/>
        </w:rPr>
        <w:t>Admiralty contract is a contract pertaining to contract of carriage by sea or sea transportation. In such a contract parties could agree on settlement of any dispute between them by means of arbitration either locally or in a foreign country. Such choice of forum for arbitration in admiralty contract is very sensitive in Nigeria in view of the provisions of the Admiralty Jurisdiction Act, 1991. Where the venue chosen is local or within the country, there is no problem. However, where the parties choose foreign venue for arbitration for such a contract, the law provides that such a choice ousts the jurisdiction of the courts of the land. Therefore, where any such case is brought before the court for a stay of proceedings for the parties to explore the arbitration in a foreign forum, the court would not grant such a stay. The court in refusing to grant such a stay would assert that the choice of such a foreign venue ousts the jurisdiction of the court. This article addresses this issue to ascertain whether indeed the jurisdiction of the court is ousted by such a choice and so the courts in Nigeria are right to refuse a stay of proceedings to pursue such an arbitration in a foreign venue. Having thoroughly gone through similar provisions and decided cases in other jurisdictions such provisions do not oust the jurisdiction of a local court except in certain exceptional circumstances which could affect the case before such an arbitration overseas could be concluded. Consequently, it is recommended that the courts in Nigeria should change their position or stand on this issue and deal with each such case based on its peculiar facts to ascertain whether or not the jurisdiction of the court is ousted by such a provision in that case.</w:t>
      </w:r>
    </w:p>
    <w:p w:rsidR="00512C4F" w:rsidRPr="00293404" w:rsidRDefault="00512C4F" w:rsidP="00512C4F">
      <w:pPr>
        <w:spacing w:after="240" w:line="360" w:lineRule="auto"/>
        <w:jc w:val="both"/>
        <w:rPr>
          <w:rFonts w:ascii="Times New Roman" w:hAnsi="Times New Roman" w:cs="Times New Roman"/>
        </w:rPr>
      </w:pPr>
      <w:r w:rsidRPr="00293404">
        <w:rPr>
          <w:rFonts w:ascii="Times New Roman" w:hAnsi="Times New Roman" w:cs="Times New Roman"/>
          <w:b/>
          <w:bCs/>
        </w:rPr>
        <w:t>KEYWORDS</w:t>
      </w:r>
      <w:r w:rsidRPr="00293404">
        <w:rPr>
          <w:rFonts w:ascii="Times New Roman" w:hAnsi="Times New Roman" w:cs="Times New Roman"/>
        </w:rPr>
        <w:t>:Choice of Forum,Commercial Arbitration, Admiralty Contract, Foreign Venue</w:t>
      </w:r>
    </w:p>
    <w:p w:rsidR="00512C4F" w:rsidRPr="00190B3B" w:rsidRDefault="00512C4F" w:rsidP="00512C4F">
      <w:pPr>
        <w:pStyle w:val="ListParagraph"/>
        <w:numPr>
          <w:ilvl w:val="0"/>
          <w:numId w:val="31"/>
        </w:numPr>
        <w:spacing w:after="0" w:line="480" w:lineRule="auto"/>
        <w:ind w:left="360"/>
        <w:jc w:val="both"/>
        <w:rPr>
          <w:rFonts w:ascii="Times New Roman" w:hAnsi="Times New Roman" w:cs="Times New Roman"/>
          <w:b/>
          <w:bCs/>
          <w:sz w:val="24"/>
          <w:szCs w:val="24"/>
        </w:rPr>
      </w:pPr>
      <w:r w:rsidRPr="00190B3B">
        <w:rPr>
          <w:rFonts w:ascii="Times New Roman" w:hAnsi="Times New Roman" w:cs="Times New Roman"/>
          <w:b/>
          <w:bCs/>
          <w:sz w:val="24"/>
          <w:szCs w:val="24"/>
        </w:rPr>
        <w:t>INTRODUCTION</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international commercial contracts parties to such contracts are often nationals of different countries or reside in different countries. It is usual that the parties enter into the contracts in one of the countries of the parties to be performed in the other country of the parties.</w:t>
      </w:r>
      <w:r w:rsidRPr="00190B3B">
        <w:rPr>
          <w:rStyle w:val="FootnoteReference"/>
          <w:rFonts w:ascii="Times New Roman" w:hAnsi="Times New Roman" w:cs="Times New Roman"/>
          <w:sz w:val="24"/>
          <w:szCs w:val="24"/>
        </w:rPr>
        <w:footnoteReference w:id="3"/>
      </w:r>
      <w:r w:rsidRPr="00190B3B">
        <w:rPr>
          <w:rFonts w:ascii="Times New Roman" w:hAnsi="Times New Roman" w:cs="Times New Roman"/>
          <w:sz w:val="24"/>
          <w:szCs w:val="24"/>
        </w:rPr>
        <w:t xml:space="preserve"> These contracts are mainly sales contracts and other forms of international business contracts. While entering into these contracts the parties often insert arbitral provisions or clauses with a </w:t>
      </w:r>
      <w:r w:rsidRPr="00190B3B">
        <w:rPr>
          <w:rFonts w:ascii="Times New Roman" w:hAnsi="Times New Roman" w:cs="Times New Roman"/>
          <w:sz w:val="24"/>
          <w:szCs w:val="24"/>
        </w:rPr>
        <w:lastRenderedPageBreak/>
        <w:t>choice of foreign forum and law to undertake the arbitration proceedings. This means that arbitration shall be implored to settle any differences arising from the contract between the parties in a foreign venue.</w:t>
      </w:r>
      <w:r w:rsidRPr="00190B3B">
        <w:rPr>
          <w:rStyle w:val="FootnoteReference"/>
          <w:rFonts w:ascii="Times New Roman" w:hAnsi="Times New Roman" w:cs="Times New Roman"/>
          <w:sz w:val="24"/>
          <w:szCs w:val="24"/>
        </w:rPr>
        <w:footnoteReference w:id="4"/>
      </w:r>
      <w:r w:rsidRPr="00190B3B">
        <w:rPr>
          <w:rFonts w:ascii="Times New Roman" w:hAnsi="Times New Roman" w:cs="Times New Roman"/>
          <w:sz w:val="24"/>
          <w:szCs w:val="24"/>
        </w:rPr>
        <w:t xml:space="preserve"> This is an alternative dispute resolution mechanism instead of the regular courts’ system.</w:t>
      </w:r>
      <w:r w:rsidRPr="00190B3B">
        <w:rPr>
          <w:rStyle w:val="FootnoteReference"/>
          <w:rFonts w:ascii="Times New Roman" w:hAnsi="Times New Roman" w:cs="Times New Roman"/>
          <w:sz w:val="24"/>
          <w:szCs w:val="24"/>
        </w:rPr>
        <w:footnoteReference w:id="5"/>
      </w:r>
      <w:r w:rsidRPr="00190B3B">
        <w:rPr>
          <w:rFonts w:ascii="Times New Roman" w:hAnsi="Times New Roman" w:cs="Times New Roman"/>
          <w:sz w:val="24"/>
          <w:szCs w:val="24"/>
        </w:rPr>
        <w:t xml:space="preserve"> The foreign forum in most cases is the country of the party where the subject matter of the contract or goods originated, produced or transported. Such a party could be termed the owner, supplier or producer of such goods.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It is normal in international commercial contracts or other business transactions for arbitral provisions or clauses with foreign forum and law to be included in such contracts or transactions. These contracts are contracts which origins are overseas or abroad for the benefit of the party in another country who could be termed the buyer or receiver of the goods or services as the case may be. Where the commercial transaction or contract is simply a sales contract, technically the parties are referred to as the consignor and consignee respectively.</w:t>
      </w:r>
      <w:r w:rsidRPr="00190B3B">
        <w:rPr>
          <w:rStyle w:val="FootnoteReference"/>
          <w:rFonts w:ascii="Times New Roman" w:hAnsi="Times New Roman" w:cs="Times New Roman"/>
          <w:sz w:val="24"/>
          <w:szCs w:val="24"/>
        </w:rPr>
        <w:footnoteReference w:id="6"/>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Choice of foreign forum for an arbitration depends on the parties and the decision for such is usually at the contracting stage. The choice of a place depends on the relevance of such a venue in dealing or handling matters of such nature. Thus, the choice of the seat of a foreign arbitration is often made of London, United Kingdom. So it is not any how place or venue is chosen for foreign arbitration. Such a place or venue is the legal venue or seat of an arbitration and it is usually an important place used for commercial arbitration. The place of an arbitration impacts on the role that the local courts have to play in the arbitration, the conduct of the arbitration itself and the enforceability of the arbitral award at the conclusion of the arbitration. Therefore, it is very important for the parties to ascertain what are the local laws of a venue to be chosen before making such a choice. This is because the authority of local courts and their extent of intervention in an arbitration varies significantly in different jurisdictions. There are no uniform laws for arbitration applicable in all jurisdictions on the same or similar subject matter. Thus, local courts treat challenges to the jurisdiction of arbitral tribunals differently. This is particularly so where it has to do with foreign venue as </w:t>
      </w:r>
      <w:r w:rsidRPr="00190B3B">
        <w:rPr>
          <w:rFonts w:ascii="Times New Roman" w:hAnsi="Times New Roman" w:cs="Times New Roman"/>
          <w:sz w:val="24"/>
          <w:szCs w:val="24"/>
        </w:rPr>
        <w:lastRenderedPageBreak/>
        <w:t xml:space="preserve">the seat of the arbitration. The above is the case with Nigeria where the relevant law appears to be against arbitration in admiralty contract in foreign venue.   </w:t>
      </w:r>
    </w:p>
    <w:p w:rsidR="00512C4F" w:rsidRPr="00190B3B" w:rsidRDefault="00512C4F" w:rsidP="00512C4F">
      <w:pPr>
        <w:pStyle w:val="ListParagraph"/>
        <w:numPr>
          <w:ilvl w:val="0"/>
          <w:numId w:val="31"/>
        </w:numPr>
        <w:spacing w:after="240" w:line="360" w:lineRule="auto"/>
        <w:ind w:left="360"/>
        <w:jc w:val="both"/>
        <w:rPr>
          <w:rFonts w:ascii="Times New Roman" w:hAnsi="Times New Roman" w:cs="Times New Roman"/>
          <w:b/>
          <w:bCs/>
          <w:sz w:val="24"/>
          <w:szCs w:val="24"/>
        </w:rPr>
      </w:pPr>
      <w:r w:rsidRPr="00190B3B">
        <w:rPr>
          <w:rFonts w:ascii="Times New Roman" w:hAnsi="Times New Roman" w:cs="Times New Roman"/>
          <w:b/>
          <w:bCs/>
          <w:sz w:val="24"/>
          <w:szCs w:val="24"/>
        </w:rPr>
        <w:t>ARBITRATION AGREEMENTS IN ADMIRALTY CONTRACTS</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Apart from the other international commercial contracts where arbitral provisions or clauses are inserted, such similar provisions or clauses are also inserted in admiralty contracts with international flavour. Thus it has been stated that many contractual documents relating to shipping contain a provision that disputes shall be settled by arbitration and even when they do not, parties not infrequently prefer arbitration procedure to litigation in the courts and enter into a special submission for that purpose. This is to some extent because of the lack of publicity that is entailed but sometimes it is because the issues involved could be better decided by a person of technical experience, the absence of legal training of the tribunal being of no importance. Therefore, it is not an uncommon feature of contracts of carriage of cargo, be they bills of lading or charter parties, to include either an arbitration clause or a clause whereby the parties to the contract purport to agree to all disputes being decided by the courts of a named country. This is usually the country of the ship’s flag but sometimes the country of the destination of the ship.</w:t>
      </w:r>
      <w:r w:rsidRPr="00190B3B">
        <w:rPr>
          <w:rStyle w:val="FootnoteReference"/>
          <w:rFonts w:ascii="Times New Roman" w:hAnsi="Times New Roman" w:cs="Times New Roman"/>
          <w:sz w:val="24"/>
          <w:szCs w:val="24"/>
        </w:rPr>
        <w:footnoteReference w:id="7"/>
      </w:r>
      <w:r w:rsidRPr="00190B3B">
        <w:rPr>
          <w:rFonts w:ascii="Times New Roman" w:hAnsi="Times New Roman" w:cs="Times New Roman"/>
          <w:sz w:val="24"/>
          <w:szCs w:val="24"/>
        </w:rPr>
        <w:t xml:space="preserve"> Apart from the regular courts in England, there is another court called the London Court of International Commercial Arbitration, which is involved in undertaking arbitration proceedings of international character in London for parties who choose such a place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cause most of chartering of ships is done on the Baltic, it is usual for an arbitration clause in the charter party to provide for arbitration in London and for that reason a more sophisticated system of commercial arbitration is found there.</w:t>
      </w:r>
      <w:r w:rsidRPr="00190B3B">
        <w:rPr>
          <w:rStyle w:val="FootnoteReference"/>
          <w:rFonts w:ascii="Times New Roman" w:hAnsi="Times New Roman" w:cs="Times New Roman"/>
          <w:sz w:val="24"/>
          <w:szCs w:val="24"/>
        </w:rPr>
        <w:footnoteReference w:id="8"/>
      </w:r>
      <w:r w:rsidRPr="00190B3B">
        <w:rPr>
          <w:rFonts w:ascii="Times New Roman" w:hAnsi="Times New Roman" w:cs="Times New Roman"/>
          <w:sz w:val="24"/>
          <w:szCs w:val="24"/>
        </w:rPr>
        <w:t>As stated above, arbitration clauses are inserted in the charter party and bill of lading contracts. However, they are mainly inserted in the charter party agreements, but would form part of the bill of lading where the terms of such a charter party are incorporated into the bill of lading.</w:t>
      </w:r>
      <w:r w:rsidRPr="00190B3B">
        <w:rPr>
          <w:rStyle w:val="FootnoteReference"/>
          <w:rFonts w:ascii="Times New Roman" w:hAnsi="Times New Roman" w:cs="Times New Roman"/>
          <w:sz w:val="24"/>
          <w:szCs w:val="24"/>
        </w:rPr>
        <w:footnoteReference w:id="9"/>
      </w:r>
      <w:r w:rsidRPr="00190B3B">
        <w:rPr>
          <w:rFonts w:ascii="Times New Roman" w:hAnsi="Times New Roman" w:cs="Times New Roman"/>
          <w:sz w:val="24"/>
          <w:szCs w:val="24"/>
        </w:rPr>
        <w:t xml:space="preserve"> This is often the case where such a bill of lading originated from a particular charter party contract. However, any such </w:t>
      </w:r>
      <w:r w:rsidRPr="00190B3B">
        <w:rPr>
          <w:rFonts w:ascii="Times New Roman" w:hAnsi="Times New Roman" w:cs="Times New Roman"/>
          <w:sz w:val="24"/>
          <w:szCs w:val="24"/>
        </w:rPr>
        <w:lastRenderedPageBreak/>
        <w:t>incorporation must be in clear terms and unambiguous else it would not be in order or accepted as proper incorporation.</w:t>
      </w:r>
      <w:r w:rsidRPr="00190B3B">
        <w:rPr>
          <w:rStyle w:val="FootnoteReference"/>
          <w:rFonts w:ascii="Times New Roman" w:hAnsi="Times New Roman" w:cs="Times New Roman"/>
          <w:sz w:val="24"/>
          <w:szCs w:val="24"/>
        </w:rPr>
        <w:footnoteReference w:id="10"/>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Where such an arbitral provision is inserted in an admiralty contract or transaction, it is expected that such a provision will be complied with and respected by the admiralty courts of the countries of the respective parties to such a contract.</w:t>
      </w:r>
      <w:r w:rsidRPr="00190B3B">
        <w:rPr>
          <w:rStyle w:val="FootnoteReference"/>
          <w:rFonts w:ascii="Times New Roman" w:hAnsi="Times New Roman" w:cs="Times New Roman"/>
          <w:sz w:val="24"/>
          <w:szCs w:val="24"/>
        </w:rPr>
        <w:footnoteReference w:id="11"/>
      </w:r>
      <w:r w:rsidRPr="00190B3B">
        <w:rPr>
          <w:rFonts w:ascii="Times New Roman" w:hAnsi="Times New Roman" w:cs="Times New Roman"/>
          <w:sz w:val="24"/>
          <w:szCs w:val="24"/>
        </w:rPr>
        <w:t xml:space="preserve"> Thus, it has been held that where parties have chosen to determine for themselves that they would refer any of their disputes to arbitration instead of resorting to regular courts, a prima facie duty is cast upon the courts to act upon their agreement.</w:t>
      </w:r>
      <w:r w:rsidRPr="00190B3B">
        <w:rPr>
          <w:rStyle w:val="FootnoteReference"/>
          <w:rFonts w:ascii="Times New Roman" w:hAnsi="Times New Roman" w:cs="Times New Roman"/>
          <w:sz w:val="24"/>
          <w:szCs w:val="24"/>
        </w:rPr>
        <w:footnoteReference w:id="12"/>
      </w:r>
      <w:r w:rsidRPr="00190B3B">
        <w:rPr>
          <w:rFonts w:ascii="Times New Roman" w:hAnsi="Times New Roman" w:cs="Times New Roman"/>
          <w:sz w:val="24"/>
          <w:szCs w:val="24"/>
        </w:rPr>
        <w:t xml:space="preserve"> Apart from the courts, such an arbitral provision in an admiralty contract is not to be seen as contrary to the admiralty laws of the countries of the respective parties as to oust the jurisdiction of their admiralty courts. In other words, none of the admiralty laws of any of the countries of the parties should provide that such an arbitral provision is an ouster of the jurisdiction of her admiralty courts.</w:t>
      </w:r>
      <w:r w:rsidRPr="00190B3B">
        <w:rPr>
          <w:rStyle w:val="FootnoteReference"/>
          <w:rFonts w:ascii="Times New Roman" w:hAnsi="Times New Roman" w:cs="Times New Roman"/>
          <w:sz w:val="24"/>
          <w:szCs w:val="24"/>
        </w:rPr>
        <w:footnoteReference w:id="13"/>
      </w:r>
      <w:r w:rsidRPr="00190B3B">
        <w:rPr>
          <w:rFonts w:ascii="Times New Roman" w:hAnsi="Times New Roman" w:cs="Times New Roman"/>
          <w:sz w:val="24"/>
          <w:szCs w:val="24"/>
        </w:rPr>
        <w:t xml:space="preserve"> However, unfortunately on the contrary, the above situations are not the positions of both the admiralty law and admiralty court in Nigeria. This is the crux of this article. </w:t>
      </w:r>
    </w:p>
    <w:p w:rsidR="00512C4F" w:rsidRPr="00190B3B" w:rsidRDefault="00512C4F" w:rsidP="00512C4F">
      <w:pPr>
        <w:spacing w:after="240" w:line="360" w:lineRule="auto"/>
        <w:jc w:val="both"/>
        <w:rPr>
          <w:rFonts w:ascii="Times New Roman" w:hAnsi="Times New Roman" w:cs="Times New Roman"/>
          <w:b/>
          <w:bCs/>
          <w:sz w:val="24"/>
          <w:szCs w:val="24"/>
        </w:rPr>
      </w:pPr>
      <w:r w:rsidRPr="00190B3B">
        <w:rPr>
          <w:rFonts w:ascii="Times New Roman" w:hAnsi="Times New Roman" w:cs="Times New Roman"/>
          <w:b/>
          <w:bCs/>
          <w:sz w:val="24"/>
          <w:szCs w:val="24"/>
        </w:rPr>
        <w:t>Admiralty Jurisdiction Act of Nigeria 2004</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By Section 20 of the Admiralty Jurisdiction Act of Nigeria,</w:t>
      </w:r>
      <w:r w:rsidRPr="00190B3B">
        <w:rPr>
          <w:rStyle w:val="FootnoteReference"/>
          <w:rFonts w:ascii="Times New Roman" w:hAnsi="Times New Roman" w:cs="Times New Roman"/>
          <w:sz w:val="24"/>
          <w:szCs w:val="24"/>
        </w:rPr>
        <w:footnoteReference w:id="14"/>
      </w:r>
      <w:r w:rsidRPr="00190B3B">
        <w:rPr>
          <w:rFonts w:ascii="Times New Roman" w:hAnsi="Times New Roman" w:cs="Times New Roman"/>
          <w:sz w:val="24"/>
          <w:szCs w:val="24"/>
        </w:rPr>
        <w:t xml:space="preserve">any arbitral provision in any admiralty contract with a foreign forum and under certain other requirements in relation to Nigeria, is stated to oust the jurisdiction of the admiralty courts of the country. This section provides as follows: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‘Any agreement by any person or party to any cause, matter or action which seeks to oust the jurisdiction of the court shall be null and void, if it relates to any admiralty matter falling under this Act and if-</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the place of performance, execution, delivery, act or default is or takes place in Nigeria; or</w:t>
      </w:r>
    </w:p>
    <w:p w:rsidR="00512C4F" w:rsidRPr="00190B3B" w:rsidRDefault="00512C4F" w:rsidP="00512C4F">
      <w:pPr>
        <w:pStyle w:val="ListParagraph"/>
        <w:numPr>
          <w:ilvl w:val="0"/>
          <w:numId w:val="29"/>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any of the parties resides or has resided in Nigeria; or </w:t>
      </w:r>
    </w:p>
    <w:p w:rsidR="00512C4F" w:rsidRPr="00190B3B" w:rsidRDefault="00512C4F" w:rsidP="00512C4F">
      <w:pPr>
        <w:pStyle w:val="ListParagraph"/>
        <w:numPr>
          <w:ilvl w:val="0"/>
          <w:numId w:val="29"/>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lastRenderedPageBreak/>
        <w:t>the payment under the agreement (implied or express) is made or is to be made in Nigeria; or</w:t>
      </w:r>
    </w:p>
    <w:p w:rsidR="00512C4F" w:rsidRPr="00190B3B" w:rsidRDefault="00512C4F" w:rsidP="00512C4F">
      <w:pPr>
        <w:pStyle w:val="ListParagraph"/>
        <w:numPr>
          <w:ilvl w:val="0"/>
          <w:numId w:val="29"/>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any admiralty action or in the case of a maritime lien, the plaintiff submits to the jurisdiction of the court and makes a declaration to that effect or the rem is within Nigerian jurisdiction; or</w:t>
      </w:r>
    </w:p>
    <w:p w:rsidR="00512C4F" w:rsidRPr="00190B3B" w:rsidRDefault="00512C4F" w:rsidP="00512C4F">
      <w:pPr>
        <w:pStyle w:val="ListParagraph"/>
        <w:numPr>
          <w:ilvl w:val="0"/>
          <w:numId w:val="29"/>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it is a case in which the Federal Government or the Government of a State of the Federation is involved and the Federal Government or the </w:t>
      </w:r>
    </w:p>
    <w:p w:rsidR="00512C4F" w:rsidRPr="00190B3B" w:rsidRDefault="00512C4F" w:rsidP="00512C4F">
      <w:pPr>
        <w:pStyle w:val="ListParagraph"/>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Government of the State submits to the jurisdiction of the court; or</w:t>
      </w:r>
    </w:p>
    <w:p w:rsidR="00512C4F" w:rsidRPr="00190B3B" w:rsidRDefault="00512C4F" w:rsidP="00512C4F">
      <w:pPr>
        <w:pStyle w:val="ListParagraph"/>
        <w:numPr>
          <w:ilvl w:val="0"/>
          <w:numId w:val="30"/>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there is a financial consideration accruing in, derived from, brought into or received in Nigeria in respect of any matter under the admiralty jurisdiction of the court; or</w:t>
      </w:r>
    </w:p>
    <w:p w:rsidR="00512C4F" w:rsidRPr="00190B3B" w:rsidRDefault="00512C4F" w:rsidP="00512C4F">
      <w:pPr>
        <w:pStyle w:val="ListParagraph"/>
        <w:numPr>
          <w:ilvl w:val="0"/>
          <w:numId w:val="30"/>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under any convention, for the time being in force to which Nigeria is a party, the national court of a contracting state is either mandated or has a discretion to assume jurisdiction; or</w:t>
      </w:r>
    </w:p>
    <w:p w:rsidR="00512C4F" w:rsidRPr="00190B3B" w:rsidRDefault="00512C4F" w:rsidP="00512C4F">
      <w:pPr>
        <w:pStyle w:val="ListParagraph"/>
        <w:numPr>
          <w:ilvl w:val="0"/>
          <w:numId w:val="30"/>
        </w:num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the opinion of the court, the cause, matter or action should be adjudicated upon in Nigeria.</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By the above provision, the admiralty court in Nigeria has discountenanced any arbitral provision in admiralty contract with foreign forum.  The said court has gone to hold that any such arbitral provision is an ouster of the admiralty jurisdiction of the court. Consequently, the said court in Nigeria would not grant any stay of proceedings in any admiralty matter before it pending the determination of any arbitration proceedings in respect of the same in a foreign forum. This is so whether or not any arbitration proceedings as agreed by the parties in their admiralty contract is already going on in a foreign forum. </w:t>
      </w:r>
    </w:p>
    <w:p w:rsidR="00512C4F" w:rsidRPr="00190B3B" w:rsidRDefault="00512C4F" w:rsidP="00512C4F">
      <w:pPr>
        <w:pStyle w:val="ListParagraph"/>
        <w:numPr>
          <w:ilvl w:val="0"/>
          <w:numId w:val="31"/>
        </w:numPr>
        <w:spacing w:after="240" w:line="360" w:lineRule="auto"/>
        <w:ind w:left="360"/>
        <w:jc w:val="both"/>
        <w:rPr>
          <w:rFonts w:ascii="Times New Roman" w:hAnsi="Times New Roman" w:cs="Times New Roman"/>
          <w:b/>
          <w:bCs/>
          <w:sz w:val="24"/>
          <w:szCs w:val="24"/>
        </w:rPr>
      </w:pPr>
      <w:r w:rsidRPr="00190B3B">
        <w:rPr>
          <w:rFonts w:ascii="Times New Roman" w:hAnsi="Times New Roman" w:cs="Times New Roman"/>
          <w:b/>
          <w:bCs/>
          <w:sz w:val="24"/>
          <w:szCs w:val="24"/>
        </w:rPr>
        <w:t>ATTITUDE OF ADMIRALTY COURTS IN NIGERIA</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The attitude of the admiralty courts in Nigeria in respect of Section 20 Admiralty Jurisdiction Act is highlighted in the following cases herein.</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M.V. Panormos Bay &amp; Ors Vs Olam Nigeria Plc</w:t>
      </w:r>
      <w:r w:rsidRPr="00190B3B">
        <w:rPr>
          <w:rStyle w:val="FootnoteReference"/>
          <w:rFonts w:ascii="Times New Roman" w:hAnsi="Times New Roman" w:cs="Times New Roman"/>
          <w:sz w:val="24"/>
          <w:szCs w:val="24"/>
        </w:rPr>
        <w:footnoteReference w:id="15"/>
      </w:r>
      <w:r w:rsidRPr="00190B3B">
        <w:rPr>
          <w:rFonts w:ascii="Times New Roman" w:hAnsi="Times New Roman" w:cs="Times New Roman"/>
          <w:sz w:val="24"/>
          <w:szCs w:val="24"/>
        </w:rPr>
        <w:t xml:space="preserve">,the said section 20 of the Admiralty Jurisdiction Act fell for consideration. In that case, the parties had inserted in their bill of lading contract an arbitral clause that ‘’ any dispute arising under the bill of lading shall be </w:t>
      </w:r>
      <w:r w:rsidRPr="00190B3B">
        <w:rPr>
          <w:rFonts w:ascii="Times New Roman" w:hAnsi="Times New Roman" w:cs="Times New Roman"/>
          <w:sz w:val="24"/>
          <w:szCs w:val="24"/>
        </w:rPr>
        <w:lastRenderedPageBreak/>
        <w:t xml:space="preserve">referred to arbitration in London. The unamended centrocon arbitration clause will apply’’. There was a breach of the </w:t>
      </w:r>
      <w:r w:rsidRPr="00190B3B">
        <w:rPr>
          <w:rFonts w:ascii="Times New Roman" w:hAnsi="Times New Roman" w:cs="Times New Roman"/>
          <w:sz w:val="24"/>
          <w:szCs w:val="24"/>
        </w:rPr>
        <w:softHyphen/>
      </w:r>
      <w:r w:rsidRPr="00190B3B">
        <w:rPr>
          <w:rFonts w:ascii="Times New Roman" w:hAnsi="Times New Roman" w:cs="Times New Roman"/>
          <w:sz w:val="24"/>
          <w:szCs w:val="24"/>
        </w:rPr>
        <w:softHyphen/>
        <w:t xml:space="preserve">contract by the appellant short landing several bags of rice of the respondent which were covered by three bills of lading. Consequently, the respondent instituted an action in Nigeria against the appellant jointly and severally for the sum of $100,000 or its Nigeria Naira equivalent being special and general damages for the loss of the said bags of rice. Upon being served with the claim, the appellant applied for stay of proceedings pending reference to arbitration based on clause 7 of the parties’ bill of lading earlier stated. The respondent opposed this application and relied on Section 20 of the Admiralty Jurisdiction Act. The trial court found that there was indeed a provision for reference to arbitration in London but refused to grant the application for stay of proceedings. The appellants then appealed to the Court of Appeal. One of the issues for determination was whether the provision of Section 20 of the Admiralty Jurisdiction Act applied to the contract of carriage between the parties as to affect the provisions of the arbitration clause in the Bill of Lading. The Court of Appeal held that since the object of the arbitration clause in the bill of lading was to oust the jurisdiction of the court to exercise its admiralty jurisdiction over the case, it was null and void. The court further stated that prior to the coming into force of the Admiralty Jurisdiction Act, Sections 2 and 4 of the Arbitration and Conciliation Act applied to all contracts having arbitration clause without any limitation whatsoever. However, Section 20 of the Admiralty Jurisdiction Act has altered the hitherto existing position in admiralty matters thereby modifying Sections 2 and 4 of the Arbitration and Conciliation Act and limiting enforceable arbitration agreements to those having Nigeria as its forum.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Again, in Lignes Aeriennes Congolese Vs Air Atlantic Nigeria Ltd,</w:t>
      </w:r>
      <w:r w:rsidRPr="00190B3B">
        <w:rPr>
          <w:rStyle w:val="FootnoteReference"/>
          <w:rFonts w:ascii="Times New Roman" w:hAnsi="Times New Roman" w:cs="Times New Roman"/>
          <w:sz w:val="24"/>
          <w:szCs w:val="24"/>
        </w:rPr>
        <w:footnoteReference w:id="16"/>
      </w:r>
      <w:r w:rsidRPr="00190B3B">
        <w:rPr>
          <w:rFonts w:ascii="Times New Roman" w:hAnsi="Times New Roman" w:cs="Times New Roman"/>
          <w:sz w:val="24"/>
          <w:szCs w:val="24"/>
        </w:rPr>
        <w:t xml:space="preserve"> the Court of Appeal in Nigeria considered the effects of Section 20 of the Admiralty Jurisdiction Act on the enforceability of arbitration agreements in a foreign forum. In that case, the appellant, a commercial airline and national carrier of the Democratic Republic of Congo, with its head office in Kinshasa, Congo, entered into an Aircraft Lease Agreement with the Respondent, a Nigerian Company with its head office in Lagos, Nigeria. By virtue of article 7 of the said Lease Agreement, the parties agreed that the procedure for dispute settlement is arbitration and the applicable law to be Congolese Law. In a dispute that arose between both parties, the respondent instituted an action in the Federal High Court, Lagos, Nigeria, claiming a certain </w:t>
      </w:r>
      <w:r w:rsidRPr="00190B3B">
        <w:rPr>
          <w:rFonts w:ascii="Times New Roman" w:hAnsi="Times New Roman" w:cs="Times New Roman"/>
          <w:sz w:val="24"/>
          <w:szCs w:val="24"/>
        </w:rPr>
        <w:lastRenderedPageBreak/>
        <w:t>sum as consideration for the lease of the cargo aircrafts</w:t>
      </w:r>
      <w:r w:rsidRPr="00190B3B">
        <w:rPr>
          <w:rStyle w:val="FootnoteReference"/>
          <w:rFonts w:ascii="Times New Roman" w:hAnsi="Times New Roman" w:cs="Times New Roman"/>
          <w:sz w:val="24"/>
          <w:szCs w:val="24"/>
        </w:rPr>
        <w:footnoteReference w:id="17"/>
      </w:r>
      <w:r w:rsidRPr="00190B3B">
        <w:rPr>
          <w:rFonts w:ascii="Times New Roman" w:hAnsi="Times New Roman" w:cs="Times New Roman"/>
          <w:sz w:val="24"/>
          <w:szCs w:val="24"/>
        </w:rPr>
        <w:t xml:space="preserve"> to the appellant. The respondent also filed a motion to prevent the appellant’s aircraft Boeing 737 from leaving jurisdiction in Lagos, as security for the sum claimed. The appellant filed a preliminary objection to the claim asserting that the court in Nigeria lacked the jurisdiction to entertain the case based on the Lease Agreement wherein the parties had chosen that the Congolese Law shall apply in their relationship. The court refused the preliminary objection and held that it had jurisdiction to entertain the suit despite the arbitral provision and governing law as agreed by the parties. The appellant then appealed to the Court of Appeal in Nigeria and contended that the trial court ought to have given effect to the agreement of the parties for arbitration under the Congolese Law. The Court of Appeal dismissed the appeal and held that the court possesses the requisite statutory jurisdiction to entertain the respondent’s suit.  The court found that the effect of the arbitral provision and chosen applicable law by the parties was to oust the jurisdiction of the court in Nigeria in respect of disputes arising from the said lease agreement. The Court of Appeal further found that the agreement of the parties was within the contemplation of the provisions of Section 20 of the Admiralty Jurisdiction Act and was thereby rendered null and void.</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From the above decisions on Section 20 of the Admiralty Jurisdiction Act of Nigeria, it is clear that arbitral provisions or agreements in admiralty transactions with a foreign forum oust the jurisdiction of the admiralty court in Nigeria. Consequently, such court in Nigeria does not grant stay of proceedings for such arbitral agreements as agreed by the parties to be explored overseas.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However, it does appear that such stay of proceedings could only be granted where the plaintiff in an admiralty transaction with an arbitral provision for foreign forum had obtained a security for his claim in an admiralty court in Nigeria. The above was the decision in the case of Onward Enterprises Limited Vs M.V. Matrix &amp; Ors.</w:t>
      </w:r>
      <w:r w:rsidRPr="00190B3B">
        <w:rPr>
          <w:rStyle w:val="FootnoteReference"/>
          <w:rFonts w:ascii="Times New Roman" w:hAnsi="Times New Roman" w:cs="Times New Roman"/>
          <w:sz w:val="24"/>
          <w:szCs w:val="24"/>
        </w:rPr>
        <w:footnoteReference w:id="18"/>
      </w:r>
      <w:r w:rsidRPr="00190B3B">
        <w:rPr>
          <w:rFonts w:ascii="Times New Roman" w:hAnsi="Times New Roman" w:cs="Times New Roman"/>
          <w:sz w:val="24"/>
          <w:szCs w:val="24"/>
        </w:rPr>
        <w:t xml:space="preserve"> In that case, the arbitral clause in the contract between the parties provided that London shall be the forum for any dispute arising from the contract. Upon the breach of the said contract, the plaintiffs instituted an action in the admiralty court in Nigeria and obtained a security for their claim. Thereafter, the defendants applied for stay of further proceedings in the suit for the matter to be referred to </w:t>
      </w:r>
      <w:r w:rsidRPr="00190B3B">
        <w:rPr>
          <w:rFonts w:ascii="Times New Roman" w:hAnsi="Times New Roman" w:cs="Times New Roman"/>
          <w:sz w:val="24"/>
          <w:szCs w:val="24"/>
        </w:rPr>
        <w:lastRenderedPageBreak/>
        <w:t xml:space="preserve">arbitration in London as agreed by the parties. The plaintiffs opposed the same on the ground that such stay would permanently deny them of their remedy because the dispute was already time barred in London. Nevertheless, the trial court granted the stay of further proceedings in the case and held that the question of denying the plaintiffs permanently of remedy in the case does not arise, the defendants have conceded to the jurisdiction of this court and are not trying to oust it. The court stated if this case is stayed on the condition that the security posted by the defendants be retained to abide by any order that the arbitrator may make in London, the plaintiffs cannot be said to be permanently deprived of remedy. On appeal to the Court of Appeal, that court upheld the decision of the trial court despite the fact that the plaintiff relied on Section 20 of the Admiralty Jurisdiction Act to persuade the Court of Appeal to nullify the stay of further proceedings in that case.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Some authors have stated that the above decision grounds Section 20 of the Admiralty Jurisdiction Act, but I beg to disagree because that case was not based on the above said section. Where it so based on the above section of the law, then the decision of Court would be clearly contrary to the said provisions of the Admiralty Jurisdiction Law, which gave no such conditions as provided by the court in granting such.  Therefore, from the above decision, it is submitted that the attitude of the admiralty court in Nigeria in respect of arbitral provisions in admiralty contracts has not changed. Such courts would only grant the stay of proceedings in such matters for the parties to resort to arbitration in a foreign forum if the applicant for the stay has submitted to jurisdiction and given security for the claim against it.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Consequently, the question is, is international commercial arbitration agreements with foreign forum in admiralty contracts intended to oust the jurisdiction of courts? To answer the above question in view of the position of the law in Nigeria, the positions of the law in respect of arbitral agreements in admiralty contracts with foreign forum in United Kingdom, Canada and United States of America shall be examined, albeit briefly.</w:t>
      </w:r>
    </w:p>
    <w:p w:rsidR="00512C4F" w:rsidRPr="00190B3B" w:rsidRDefault="00512C4F" w:rsidP="00512C4F">
      <w:pPr>
        <w:pStyle w:val="ListParagraph"/>
        <w:numPr>
          <w:ilvl w:val="0"/>
          <w:numId w:val="31"/>
        </w:numPr>
        <w:spacing w:after="240" w:line="360" w:lineRule="auto"/>
        <w:ind w:left="360"/>
        <w:jc w:val="both"/>
        <w:rPr>
          <w:rFonts w:ascii="Times New Roman" w:hAnsi="Times New Roman" w:cs="Times New Roman"/>
          <w:b/>
          <w:bCs/>
          <w:sz w:val="24"/>
          <w:szCs w:val="24"/>
        </w:rPr>
      </w:pPr>
      <w:r w:rsidRPr="00190B3B">
        <w:rPr>
          <w:rFonts w:ascii="Times New Roman" w:hAnsi="Times New Roman" w:cs="Times New Roman"/>
          <w:b/>
          <w:bCs/>
          <w:sz w:val="24"/>
          <w:szCs w:val="24"/>
        </w:rPr>
        <w:t>POSITION IN UNITED KINGDOM, CANADA AND UNITED STATES OF AMERICA</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In the United Kingdom, two principal statutory provisions affect arbitration agreements and choice of forum clauses in international contracts of carriage by sea. These statutory provisions are the Rome Convention on the Law Applicable to Contractual Obligations of </w:t>
      </w:r>
      <w:r w:rsidRPr="00190B3B">
        <w:rPr>
          <w:rFonts w:ascii="Times New Roman" w:hAnsi="Times New Roman" w:cs="Times New Roman"/>
          <w:sz w:val="24"/>
          <w:szCs w:val="24"/>
        </w:rPr>
        <w:lastRenderedPageBreak/>
        <w:t>1991 and Regulation (EC) 593/2008. The Rome Convention is a convention applicable to all the states of the European Community. It was incorporated into the English Law by the Contracts (Applicable Law) Act, of 1990 and applies to all contracts except those entered into after it came into force on 1 April, 1991. The Regulation (EC) 593/2008 replaced the Rome Convention and it is applicable to contracts entered into after 17 December, 2009. The Regulation in the main reflects the Rome Convention except for few substantive differences.  Both the Convention and Regulation apply to contracts of carriage by sea within the European Community, though different countries. However, the rules of law applicable to international commercial arbitrations are incorporated within the Arbitration Act of 1996, which also applies to domestic arbitration.</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Apart from the above laws, the Common Law also applies to contracts of carriage. However, this could only be where an issue is excluded from the Convention or Regulation and it is not a subject of any other international agreement enacted into the English Law.</w:t>
      </w:r>
      <w:r w:rsidRPr="00190B3B">
        <w:rPr>
          <w:rStyle w:val="FootnoteReference"/>
          <w:rFonts w:ascii="Times New Roman" w:hAnsi="Times New Roman" w:cs="Times New Roman"/>
          <w:sz w:val="24"/>
          <w:szCs w:val="24"/>
        </w:rPr>
        <w:footnoteReference w:id="19"/>
      </w:r>
      <w:r w:rsidRPr="00190B3B">
        <w:rPr>
          <w:rFonts w:ascii="Times New Roman" w:hAnsi="Times New Roman" w:cs="Times New Roman"/>
          <w:sz w:val="24"/>
          <w:szCs w:val="24"/>
        </w:rPr>
        <w:t xml:space="preserve"> In the main, the above laws adopted similar approach taken by the English courts as to the choice of law and indeed forum for contracts of carriage by sea. However, any such choice must be bona fide, legal and not against public policy of the chosen state concerned.</w:t>
      </w:r>
      <w:r w:rsidRPr="00190B3B">
        <w:rPr>
          <w:rStyle w:val="FootnoteReference"/>
          <w:rFonts w:ascii="Times New Roman" w:hAnsi="Times New Roman" w:cs="Times New Roman"/>
          <w:sz w:val="24"/>
          <w:szCs w:val="24"/>
        </w:rPr>
        <w:footnoteReference w:id="20"/>
      </w:r>
      <w:r w:rsidRPr="00190B3B">
        <w:rPr>
          <w:rFonts w:ascii="Times New Roman" w:hAnsi="Times New Roman" w:cs="Times New Roman"/>
          <w:sz w:val="24"/>
          <w:szCs w:val="24"/>
        </w:rPr>
        <w:t xml:space="preserve"> Also, there should not be any mandatory statutory provision prohibiting contracting out where the Hague/Visby Rules of 1924 apply to the contract of the parties.</w:t>
      </w:r>
      <w:r w:rsidRPr="00190B3B">
        <w:rPr>
          <w:rStyle w:val="FootnoteReference"/>
          <w:rFonts w:ascii="Times New Roman" w:hAnsi="Times New Roman" w:cs="Times New Roman"/>
          <w:sz w:val="24"/>
          <w:szCs w:val="24"/>
        </w:rPr>
        <w:footnoteReference w:id="21"/>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Thus, in The Komnings S,</w:t>
      </w:r>
      <w:r w:rsidRPr="00190B3B">
        <w:rPr>
          <w:rStyle w:val="FootnoteReference"/>
          <w:rFonts w:ascii="Times New Roman" w:hAnsi="Times New Roman" w:cs="Times New Roman"/>
          <w:sz w:val="24"/>
          <w:szCs w:val="24"/>
        </w:rPr>
        <w:footnoteReference w:id="22"/>
      </w:r>
      <w:r w:rsidRPr="00190B3B">
        <w:rPr>
          <w:rFonts w:ascii="Times New Roman" w:hAnsi="Times New Roman" w:cs="Times New Roman"/>
          <w:sz w:val="24"/>
          <w:szCs w:val="24"/>
        </w:rPr>
        <w:t xml:space="preserve"> a cargo of steel coils was shipped from Thessaloniki to Ravenna under bills of lading which provided that any disputes arising under the contract of carriage were ‘to be referred to British courts’. According to the Court of Appeal, this express choice of forum also involved an implied choice of law. In a claim for cargo damage, the ship owner sought to rely on exclusion clauses in the contract which would be rendered null and void by The Hague /Visby Rules, if the latter were applicable.</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As Greece was not a contracting state, the Rules were not mandatorily applicable since the shipment was not from a port in a contracting state nor had the bill of lading been issued in a contracting state. Accordingly, the Rules would only be relevant if it was the intention of the parties that they should be incorporated into the contract of carriage within the meaning of </w:t>
      </w:r>
      <w:r w:rsidRPr="00190B3B">
        <w:rPr>
          <w:rFonts w:ascii="Times New Roman" w:hAnsi="Times New Roman" w:cs="Times New Roman"/>
          <w:sz w:val="24"/>
          <w:szCs w:val="24"/>
        </w:rPr>
        <w:lastRenderedPageBreak/>
        <w:t xml:space="preserve">Art X(c) of the Rules. The Court of Appeal refused to infer such an intention merely from the inclusion in the contract of a choice of forum clause. The ship owner was therefore able to invoke the protection of the contractual exceptions.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According to Wilson</w:t>
      </w:r>
      <w:r w:rsidRPr="00190B3B">
        <w:rPr>
          <w:rStyle w:val="FootnoteReference"/>
          <w:rFonts w:ascii="Times New Roman" w:hAnsi="Times New Roman" w:cs="Times New Roman"/>
          <w:sz w:val="24"/>
          <w:szCs w:val="24"/>
        </w:rPr>
        <w:footnoteReference w:id="23"/>
      </w:r>
      <w:r w:rsidRPr="00190B3B">
        <w:rPr>
          <w:rFonts w:ascii="Times New Roman" w:hAnsi="Times New Roman" w:cs="Times New Roman"/>
          <w:sz w:val="24"/>
          <w:szCs w:val="24"/>
        </w:rPr>
        <w:t>generally, English Courts recognise the general principle of freedom of contract and would uphold any agreement reached by the contracting parties.</w:t>
      </w:r>
      <w:r w:rsidRPr="00190B3B">
        <w:rPr>
          <w:rStyle w:val="FootnoteReference"/>
          <w:rFonts w:ascii="Times New Roman" w:hAnsi="Times New Roman" w:cs="Times New Roman"/>
          <w:sz w:val="24"/>
          <w:szCs w:val="24"/>
        </w:rPr>
        <w:footnoteReference w:id="24"/>
      </w:r>
      <w:r w:rsidRPr="00190B3B">
        <w:rPr>
          <w:rFonts w:ascii="Times New Roman" w:hAnsi="Times New Roman" w:cs="Times New Roman"/>
          <w:sz w:val="24"/>
          <w:szCs w:val="24"/>
        </w:rPr>
        <w:t xml:space="preserve"> Consequently, these courts recognise foreign jurisdiction clauses to the extent of granting stay of proceedings in any cases brought before them in contravention of any such clauses.</w:t>
      </w:r>
      <w:r w:rsidRPr="00190B3B">
        <w:rPr>
          <w:rStyle w:val="FootnoteReference"/>
          <w:rFonts w:ascii="Times New Roman" w:hAnsi="Times New Roman" w:cs="Times New Roman"/>
          <w:sz w:val="24"/>
          <w:szCs w:val="24"/>
        </w:rPr>
        <w:footnoteReference w:id="25"/>
      </w:r>
      <w:r w:rsidRPr="00190B3B">
        <w:rPr>
          <w:rFonts w:ascii="Times New Roman" w:hAnsi="Times New Roman" w:cs="Times New Roman"/>
          <w:sz w:val="24"/>
          <w:szCs w:val="24"/>
        </w:rPr>
        <w:t xml:space="preserve"> In any case, such a stay of proceedings must be based on certain requirements</w:t>
      </w:r>
      <w:r w:rsidRPr="00190B3B">
        <w:rPr>
          <w:rStyle w:val="FootnoteReference"/>
          <w:rFonts w:ascii="Times New Roman" w:hAnsi="Times New Roman" w:cs="Times New Roman"/>
          <w:sz w:val="24"/>
          <w:szCs w:val="24"/>
        </w:rPr>
        <w:footnoteReference w:id="26"/>
      </w:r>
      <w:r w:rsidRPr="00190B3B">
        <w:rPr>
          <w:rFonts w:ascii="Times New Roman" w:hAnsi="Times New Roman" w:cs="Times New Roman"/>
          <w:sz w:val="24"/>
          <w:szCs w:val="24"/>
        </w:rPr>
        <w:t xml:space="preserve"> but overall shall be granted to protect the agreement of the parties in their contract.</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According to Baughen,</w:t>
      </w:r>
      <w:r w:rsidRPr="00190B3B">
        <w:rPr>
          <w:rStyle w:val="FootnoteReference"/>
          <w:rFonts w:ascii="Times New Roman" w:hAnsi="Times New Roman" w:cs="Times New Roman"/>
          <w:sz w:val="24"/>
          <w:szCs w:val="24"/>
        </w:rPr>
        <w:footnoteReference w:id="27"/>
      </w:r>
      <w:r w:rsidRPr="00190B3B">
        <w:rPr>
          <w:rFonts w:ascii="Times New Roman" w:hAnsi="Times New Roman" w:cs="Times New Roman"/>
          <w:sz w:val="24"/>
          <w:szCs w:val="24"/>
        </w:rPr>
        <w:t xml:space="preserve"> generally the English High Court is very reluctant to interfere with parties’ chosen jurisdiction except in certain circumstances.</w:t>
      </w:r>
      <w:r w:rsidRPr="00190B3B">
        <w:rPr>
          <w:rStyle w:val="FootnoteReference"/>
          <w:rFonts w:ascii="Times New Roman" w:hAnsi="Times New Roman" w:cs="Times New Roman"/>
          <w:sz w:val="24"/>
          <w:szCs w:val="24"/>
        </w:rPr>
        <w:footnoteReference w:id="28"/>
      </w:r>
      <w:r w:rsidRPr="00190B3B">
        <w:rPr>
          <w:rFonts w:ascii="Times New Roman" w:hAnsi="Times New Roman" w:cs="Times New Roman"/>
          <w:sz w:val="24"/>
          <w:szCs w:val="24"/>
        </w:rPr>
        <w:t xml:space="preserve"> Consequently, the court will exercise its discretion to stay proceedings of any case before it to enforce such choice of jurisdiction unless the claimant can show a strong case for the stay not to be granted.</w:t>
      </w:r>
      <w:r w:rsidRPr="00190B3B">
        <w:rPr>
          <w:rStyle w:val="FootnoteReference"/>
          <w:rFonts w:ascii="Times New Roman" w:hAnsi="Times New Roman" w:cs="Times New Roman"/>
          <w:sz w:val="24"/>
          <w:szCs w:val="24"/>
        </w:rPr>
        <w:footnoteReference w:id="29"/>
      </w:r>
      <w:r w:rsidRPr="00190B3B">
        <w:rPr>
          <w:rFonts w:ascii="Times New Roman" w:hAnsi="Times New Roman" w:cs="Times New Roman"/>
          <w:sz w:val="24"/>
          <w:szCs w:val="24"/>
        </w:rPr>
        <w:t xml:space="preserve"> The same principles apply whether the chosen forum is England or another country</w:t>
      </w:r>
      <w:r w:rsidRPr="00190B3B">
        <w:rPr>
          <w:rStyle w:val="FootnoteReference"/>
          <w:rFonts w:ascii="Times New Roman" w:hAnsi="Times New Roman" w:cs="Times New Roman"/>
          <w:sz w:val="24"/>
          <w:szCs w:val="24"/>
        </w:rPr>
        <w:footnoteReference w:id="30"/>
      </w:r>
      <w:r w:rsidRPr="00190B3B">
        <w:rPr>
          <w:rFonts w:ascii="Times New Roman" w:hAnsi="Times New Roman" w:cs="Times New Roman"/>
          <w:sz w:val="24"/>
          <w:szCs w:val="24"/>
        </w:rPr>
        <w:t>and whether the clause is exclusive or non-exclusive.</w:t>
      </w:r>
      <w:r w:rsidRPr="00190B3B">
        <w:rPr>
          <w:rStyle w:val="FootnoteReference"/>
          <w:rFonts w:ascii="Times New Roman" w:hAnsi="Times New Roman" w:cs="Times New Roman"/>
          <w:sz w:val="24"/>
          <w:szCs w:val="24"/>
        </w:rPr>
        <w:footnoteReference w:id="31"/>
      </w:r>
      <w:r w:rsidRPr="00190B3B">
        <w:rPr>
          <w:rFonts w:ascii="Times New Roman" w:hAnsi="Times New Roman" w:cs="Times New Roman"/>
          <w:sz w:val="24"/>
          <w:szCs w:val="24"/>
        </w:rPr>
        <w:t xml:space="preserve"> For the learned author, the English court will consider all the circumstances of the case and in particular certain factors before a stay of proceedings could be granted.</w:t>
      </w:r>
      <w:r w:rsidRPr="00190B3B">
        <w:rPr>
          <w:rStyle w:val="FootnoteReference"/>
          <w:rFonts w:ascii="Times New Roman" w:hAnsi="Times New Roman" w:cs="Times New Roman"/>
          <w:sz w:val="24"/>
          <w:szCs w:val="24"/>
        </w:rPr>
        <w:footnoteReference w:id="32"/>
      </w:r>
      <w:r w:rsidRPr="00190B3B">
        <w:rPr>
          <w:rFonts w:ascii="Times New Roman" w:hAnsi="Times New Roman" w:cs="Times New Roman"/>
          <w:sz w:val="24"/>
          <w:szCs w:val="24"/>
        </w:rPr>
        <w:t xml:space="preserve"> In respect of arbitration agreements, proceedings brought in the High Court or admiralty court in contravention of an agreement between the parties to refer the matter to arbitration must be stayed. This is whether they are domestic or non-domestic arbitration agreements.</w:t>
      </w:r>
      <w:r w:rsidRPr="00190B3B">
        <w:rPr>
          <w:rStyle w:val="FootnoteReference"/>
          <w:rFonts w:ascii="Times New Roman" w:hAnsi="Times New Roman" w:cs="Times New Roman"/>
          <w:sz w:val="24"/>
          <w:szCs w:val="24"/>
        </w:rPr>
        <w:footnoteReference w:id="33"/>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For Sir Mocatta,</w:t>
      </w:r>
      <w:r w:rsidRPr="00190B3B">
        <w:rPr>
          <w:rStyle w:val="FootnoteReference"/>
          <w:rFonts w:ascii="Times New Roman" w:hAnsi="Times New Roman" w:cs="Times New Roman"/>
          <w:sz w:val="24"/>
          <w:szCs w:val="24"/>
        </w:rPr>
        <w:footnoteReference w:id="34"/>
      </w:r>
      <w:r w:rsidRPr="00190B3B">
        <w:rPr>
          <w:rFonts w:ascii="Times New Roman" w:hAnsi="Times New Roman" w:cs="Times New Roman"/>
          <w:sz w:val="24"/>
          <w:szCs w:val="24"/>
        </w:rPr>
        <w:t xml:space="preserve"> in the United Kingdom all the divisions of the High Court of Justice have jurisdiction to decide disputes arising on charter parties and bills of lading.</w:t>
      </w:r>
      <w:r w:rsidRPr="00190B3B">
        <w:rPr>
          <w:rStyle w:val="FootnoteReference"/>
          <w:rFonts w:ascii="Times New Roman" w:hAnsi="Times New Roman" w:cs="Times New Roman"/>
          <w:sz w:val="24"/>
          <w:szCs w:val="24"/>
        </w:rPr>
        <w:footnoteReference w:id="35"/>
      </w:r>
      <w:r w:rsidRPr="00190B3B">
        <w:rPr>
          <w:rFonts w:ascii="Times New Roman" w:hAnsi="Times New Roman" w:cs="Times New Roman"/>
          <w:sz w:val="24"/>
          <w:szCs w:val="24"/>
        </w:rPr>
        <w:t xml:space="preserve"> According to him, this jurisdiction cannot be excluded by a clause in a contract giving exclusive </w:t>
      </w:r>
      <w:r w:rsidRPr="00190B3B">
        <w:rPr>
          <w:rFonts w:ascii="Times New Roman" w:hAnsi="Times New Roman" w:cs="Times New Roman"/>
          <w:sz w:val="24"/>
          <w:szCs w:val="24"/>
        </w:rPr>
        <w:lastRenderedPageBreak/>
        <w:t>jurisdiction to a foreign tribunal. However, just as in an ordinary action, such a court has discretion to stay proceedings in any such claims pursuant to an arbitration or foreign jurisdiction clause in the charter party or bill of lading.</w:t>
      </w:r>
      <w:r w:rsidRPr="00190B3B">
        <w:rPr>
          <w:rStyle w:val="FootnoteReference"/>
          <w:rFonts w:ascii="Times New Roman" w:hAnsi="Times New Roman" w:cs="Times New Roman"/>
          <w:sz w:val="24"/>
          <w:szCs w:val="24"/>
        </w:rPr>
        <w:footnoteReference w:id="36"/>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For McGuffie,</w:t>
      </w:r>
      <w:r w:rsidRPr="00190B3B">
        <w:rPr>
          <w:rStyle w:val="FootnoteReference"/>
          <w:rFonts w:ascii="Times New Roman" w:hAnsi="Times New Roman" w:cs="Times New Roman"/>
          <w:sz w:val="24"/>
          <w:szCs w:val="24"/>
        </w:rPr>
        <w:footnoteReference w:id="37"/>
      </w:r>
      <w:r w:rsidRPr="00190B3B">
        <w:rPr>
          <w:rFonts w:ascii="Times New Roman" w:hAnsi="Times New Roman" w:cs="Times New Roman"/>
          <w:sz w:val="24"/>
          <w:szCs w:val="24"/>
        </w:rPr>
        <w:t xml:space="preserve">even in the 1960s under the English system, where the arbitration agreement chooses the courts in England to settle the dispute, the courts have the power to stay proceedings but not the power to set aside the action. The situation may be different in cases where the parties have agreed by the contract of carriage to submit disputes to the courts of a country other than England. In such circumstances the court has the power to set aside the writ. The court may decide to do so unless it can be shown that only by allowing the action to continue can the plaintiff be given the relief to which he is entitled, as where the claim has already become barred in the country agreed. He further stated that an arbitration agreement cannot oust the jurisdiction of the court.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Canada, the choice of law and choice of forum in international commercial arbitration is governed by the Commercial Arbitration Act.</w:t>
      </w:r>
      <w:r w:rsidRPr="00190B3B">
        <w:rPr>
          <w:rStyle w:val="FootnoteReference"/>
          <w:rFonts w:ascii="Times New Roman" w:hAnsi="Times New Roman" w:cs="Times New Roman"/>
          <w:sz w:val="24"/>
          <w:szCs w:val="24"/>
        </w:rPr>
        <w:footnoteReference w:id="38"/>
      </w:r>
      <w:r w:rsidRPr="00190B3B">
        <w:rPr>
          <w:rFonts w:ascii="Times New Roman" w:hAnsi="Times New Roman" w:cs="Times New Roman"/>
          <w:sz w:val="24"/>
          <w:szCs w:val="24"/>
        </w:rPr>
        <w:t xml:space="preserve"> This Act adopt the Commercial Arbitration Code based on the Model Law on international commercial arbitration adopted by the United Nations Commission on International Trade Law (‘’UNCITRAL’’) on June 21, 1985. The code applies to matters where at least one of the parties to the arbitration is Her Majesty in Right of Canada, a department or corporation or a crown corporation or in relation to maritime or admiralty affairs.</w:t>
      </w:r>
      <w:r w:rsidRPr="00190B3B">
        <w:rPr>
          <w:rStyle w:val="FootnoteReference"/>
          <w:rFonts w:ascii="Times New Roman" w:hAnsi="Times New Roman" w:cs="Times New Roman"/>
          <w:sz w:val="24"/>
          <w:szCs w:val="24"/>
        </w:rPr>
        <w:footnoteReference w:id="39"/>
      </w:r>
      <w:r w:rsidRPr="00190B3B">
        <w:rPr>
          <w:rFonts w:ascii="Times New Roman" w:hAnsi="Times New Roman" w:cs="Times New Roman"/>
          <w:sz w:val="24"/>
          <w:szCs w:val="24"/>
        </w:rPr>
        <w:t xml:space="preserve"> Each state or province of Canada has its own equivalent law for international commercial arbitration. For example, in Ontario, the law governing international commercial arbitration is International Commercial Arbitration Act (‘’ICAA’’).</w:t>
      </w:r>
      <w:r w:rsidRPr="00190B3B">
        <w:rPr>
          <w:rStyle w:val="FootnoteReference"/>
          <w:rFonts w:ascii="Times New Roman" w:hAnsi="Times New Roman" w:cs="Times New Roman"/>
          <w:sz w:val="24"/>
          <w:szCs w:val="24"/>
        </w:rPr>
        <w:footnoteReference w:id="40"/>
      </w:r>
      <w:r w:rsidRPr="00190B3B">
        <w:rPr>
          <w:rFonts w:ascii="Times New Roman" w:hAnsi="Times New Roman" w:cs="Times New Roman"/>
          <w:sz w:val="24"/>
          <w:szCs w:val="24"/>
        </w:rPr>
        <w:t xml:space="preserve"> Where any state has not enacted its own law, the federal Act applies. The principles of choice of law and choice of forum were also developed under the common law principles of conflict of laws. Those principles have been developed over centuries by courts to address issues of this nature in international disputes.</w:t>
      </w:r>
      <w:r w:rsidRPr="00190B3B">
        <w:rPr>
          <w:rStyle w:val="FootnoteReference"/>
          <w:rFonts w:ascii="Times New Roman" w:hAnsi="Times New Roman" w:cs="Times New Roman"/>
          <w:sz w:val="24"/>
          <w:szCs w:val="24"/>
        </w:rPr>
        <w:footnoteReference w:id="41"/>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Apart from the above, in Canada the other source of rules for international commercial arbitration is the agreement between the parties. Except for limited public policy exceptions, </w:t>
      </w:r>
      <w:r w:rsidRPr="00190B3B">
        <w:rPr>
          <w:rFonts w:ascii="Times New Roman" w:hAnsi="Times New Roman" w:cs="Times New Roman"/>
          <w:sz w:val="24"/>
          <w:szCs w:val="24"/>
        </w:rPr>
        <w:lastRenderedPageBreak/>
        <w:t>the courts and law in Canada ensure that parties are bound by their agreement. Thus the court has power to stay an action in breach of any arbitral agreement.</w:t>
      </w:r>
      <w:r w:rsidRPr="00190B3B">
        <w:rPr>
          <w:rStyle w:val="FootnoteReference"/>
          <w:rFonts w:ascii="Times New Roman" w:hAnsi="Times New Roman" w:cs="Times New Roman"/>
          <w:sz w:val="24"/>
          <w:szCs w:val="24"/>
        </w:rPr>
        <w:footnoteReference w:id="42"/>
      </w:r>
      <w:r w:rsidRPr="00190B3B">
        <w:rPr>
          <w:rFonts w:ascii="Times New Roman" w:hAnsi="Times New Roman" w:cs="Times New Roman"/>
          <w:sz w:val="24"/>
          <w:szCs w:val="24"/>
        </w:rPr>
        <w:t>Where there is a breach of an arbitral provision, the court must stay the action and refer the parties to arbitration as agreed unless the court finds that the arbitration agreement is ‘’null and void, inoperative or incapable of being performed’’. Except for those exceptions, the court has no discretion to refuse to refer the parties to arbitration as agreed. This is because it is a mandatory provision for the court to stay action in such cases.</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Dalimpex Ltd v Janicki,</w:t>
      </w:r>
      <w:r w:rsidRPr="00190B3B">
        <w:rPr>
          <w:rStyle w:val="FootnoteReference"/>
          <w:rFonts w:ascii="Times New Roman" w:hAnsi="Times New Roman" w:cs="Times New Roman"/>
          <w:sz w:val="24"/>
          <w:szCs w:val="24"/>
        </w:rPr>
        <w:footnoteReference w:id="43"/>
      </w:r>
      <w:r w:rsidRPr="00190B3B">
        <w:rPr>
          <w:rFonts w:ascii="Times New Roman" w:hAnsi="Times New Roman" w:cs="Times New Roman"/>
          <w:sz w:val="24"/>
          <w:szCs w:val="24"/>
        </w:rPr>
        <w:t xml:space="preserve"> the defendant moved for a stay of proceedings under Article 8(1) of the Model Law and referral to arbitration in Poland. The plaintiff argued that the arbitration agreement was unenforceable because the chosen arbitration institution ceased to exist. Notwithstanding the plaintiff’s plausible argument, the Ontario Court of Appeal granted the stay and referred the parties to arbitration in Poland. </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Thus when parties agree to settle their disputes through arbitration, it is the judicial and legislative policy of the state to ‘’hold the parties to their bargain’’.</w:t>
      </w:r>
      <w:r w:rsidRPr="00190B3B">
        <w:rPr>
          <w:rStyle w:val="FootnoteReference"/>
          <w:rFonts w:ascii="Times New Roman" w:hAnsi="Times New Roman" w:cs="Times New Roman"/>
          <w:sz w:val="24"/>
          <w:szCs w:val="24"/>
        </w:rPr>
        <w:footnoteReference w:id="44"/>
      </w:r>
      <w:r w:rsidRPr="00190B3B">
        <w:rPr>
          <w:rFonts w:ascii="Times New Roman" w:hAnsi="Times New Roman" w:cs="Times New Roman"/>
          <w:sz w:val="24"/>
          <w:szCs w:val="24"/>
        </w:rPr>
        <w:t xml:space="preserve"> The Supreme Court of Canada has emphasized the parties’ freedom of choice by holding that ‘’ the parties to an arbitration agreement are free, subject to any mandatory provisions by which they are bound, to choose any place, forum and procedures they consider appropriate. They can choose cyberspace and establish their own rules’’.</w:t>
      </w:r>
      <w:r w:rsidRPr="00190B3B">
        <w:rPr>
          <w:rStyle w:val="FootnoteReference"/>
          <w:rFonts w:ascii="Times New Roman" w:hAnsi="Times New Roman" w:cs="Times New Roman"/>
          <w:sz w:val="24"/>
          <w:szCs w:val="24"/>
        </w:rPr>
        <w:footnoteReference w:id="45"/>
      </w:r>
      <w:r w:rsidRPr="00190B3B">
        <w:rPr>
          <w:rFonts w:ascii="Times New Roman" w:hAnsi="Times New Roman" w:cs="Times New Roman"/>
          <w:sz w:val="24"/>
          <w:szCs w:val="24"/>
        </w:rPr>
        <w:t xml:space="preserve"> However, in Canada notwithstanding the arbitral provision of the parties for choice of forum for arbitration in another jurisdiction, such choice cannot ‘’oust the jurisdiction’’ conferred by a legislature on the court.</w:t>
      </w:r>
      <w:r w:rsidRPr="00190B3B">
        <w:rPr>
          <w:rStyle w:val="FootnoteReference"/>
          <w:rFonts w:ascii="Times New Roman" w:hAnsi="Times New Roman" w:cs="Times New Roman"/>
          <w:sz w:val="24"/>
          <w:szCs w:val="24"/>
        </w:rPr>
        <w:footnoteReference w:id="46"/>
      </w:r>
    </w:p>
    <w:p w:rsidR="00512C4F" w:rsidRPr="00190B3B" w:rsidRDefault="00512C4F" w:rsidP="00512C4F">
      <w:pPr>
        <w:autoSpaceDE w:val="0"/>
        <w:autoSpaceDN w:val="0"/>
        <w:adjustRightInd w:val="0"/>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the United States of America, this issue of choice of forum has also been recognised and a similar attitude as in the United Kingdom and Canada has been adopted by their Supreme Court.</w:t>
      </w:r>
    </w:p>
    <w:p w:rsidR="00512C4F" w:rsidRPr="00190B3B" w:rsidRDefault="00512C4F" w:rsidP="00512C4F">
      <w:pPr>
        <w:autoSpaceDE w:val="0"/>
        <w:autoSpaceDN w:val="0"/>
        <w:adjustRightInd w:val="0"/>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In the case of Zapata v Bremen,</w:t>
      </w:r>
      <w:r w:rsidRPr="00190B3B">
        <w:rPr>
          <w:rStyle w:val="FootnoteReference"/>
          <w:rFonts w:ascii="Times New Roman" w:hAnsi="Times New Roman" w:cs="Times New Roman"/>
          <w:sz w:val="24"/>
          <w:szCs w:val="24"/>
        </w:rPr>
        <w:footnoteReference w:id="47"/>
      </w:r>
      <w:r w:rsidRPr="00190B3B">
        <w:rPr>
          <w:rFonts w:ascii="Times New Roman" w:hAnsi="Times New Roman" w:cs="Times New Roman"/>
          <w:sz w:val="24"/>
          <w:szCs w:val="24"/>
        </w:rPr>
        <w:t xml:space="preserve"> the Court opined that forum-selection clauses are prima facie valid and should be enforced unless enforcement is shown </w:t>
      </w:r>
      <w:r w:rsidRPr="00190B3B">
        <w:rPr>
          <w:rFonts w:ascii="Times New Roman" w:hAnsi="Times New Roman" w:cs="Times New Roman"/>
          <w:bCs/>
          <w:sz w:val="24"/>
          <w:szCs w:val="24"/>
        </w:rPr>
        <w:t>by</w:t>
      </w:r>
      <w:r w:rsidRPr="00190B3B">
        <w:rPr>
          <w:rFonts w:ascii="Times New Roman" w:hAnsi="Times New Roman" w:cs="Times New Roman"/>
          <w:sz w:val="24"/>
          <w:szCs w:val="24"/>
        </w:rPr>
        <w:t xml:space="preserve">the resisting party to be 'unreasonable' under the circumstances. It was also stated that enforcement of forum-selection </w:t>
      </w:r>
      <w:r w:rsidRPr="00190B3B">
        <w:rPr>
          <w:rFonts w:ascii="Times New Roman" w:hAnsi="Times New Roman" w:cs="Times New Roman"/>
          <w:sz w:val="24"/>
          <w:szCs w:val="24"/>
        </w:rPr>
        <w:lastRenderedPageBreak/>
        <w:t xml:space="preserve">clauses was an approach that is substantially followed in other common-law countries including England and that adoption of this approach accorded with ancient concepts of freedom of contract. </w:t>
      </w:r>
      <w:r w:rsidRPr="00190B3B">
        <w:rPr>
          <w:rFonts w:ascii="Times New Roman" w:hAnsi="Times New Roman" w:cs="Times New Roman"/>
          <w:bCs/>
          <w:sz w:val="24"/>
          <w:szCs w:val="24"/>
        </w:rPr>
        <w:t xml:space="preserve">Apart from the Supreme Court, </w:t>
      </w:r>
      <w:r w:rsidRPr="00190B3B">
        <w:rPr>
          <w:rFonts w:ascii="Times New Roman" w:hAnsi="Times New Roman" w:cs="Times New Roman"/>
          <w:sz w:val="24"/>
          <w:szCs w:val="24"/>
        </w:rPr>
        <w:t>Federal courts in the USA</w:t>
      </w:r>
      <w:r w:rsidRPr="00190B3B">
        <w:rPr>
          <w:rStyle w:val="FootnoteReference"/>
          <w:rFonts w:ascii="Times New Roman" w:hAnsi="Times New Roman" w:cs="Times New Roman"/>
          <w:sz w:val="24"/>
          <w:szCs w:val="24"/>
        </w:rPr>
        <w:footnoteReference w:id="48"/>
      </w:r>
      <w:r w:rsidRPr="00190B3B">
        <w:rPr>
          <w:rFonts w:ascii="Times New Roman" w:hAnsi="Times New Roman" w:cs="Times New Roman"/>
          <w:sz w:val="24"/>
          <w:szCs w:val="24"/>
        </w:rPr>
        <w:t xml:space="preserve"> have universally agreed that the teaching of Bremen is not limited to admiralty cases or to cases involving the selection of a foreign forum but applies to all forum-selection clauses even if they select a domestic forum and even if they arise in suit between parties of different states. However, the above position of the Supreme Court decision in the case of Bremen has been severely criticised.</w:t>
      </w:r>
      <w:r w:rsidRPr="00190B3B">
        <w:rPr>
          <w:rStyle w:val="FootnoteReference"/>
          <w:rFonts w:ascii="Times New Roman" w:hAnsi="Times New Roman" w:cs="Times New Roman"/>
          <w:sz w:val="24"/>
          <w:szCs w:val="24"/>
        </w:rPr>
        <w:footnoteReference w:id="49"/>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 xml:space="preserve">The question is what does the US Supreme Court mean by “unless enforcement is shown by the resisting party to be ‘unreasonable’ under the circumstances”. Two issues appear to be involved herein i.e. the arbitral award and the enforcement of the same. Thus, the issue is: Is it the arbitral award or the enforcement of the award that is unreasonable? If the award is deemed to be unreasonable then it ought not to have been made in the first instance by a court of such status and haven been made, then it cannot be said to be unreasonable. This is so because for a court of such status to have made an award, it ought to have considered the claims of the parties, facts of the case and other circumstances of the case before arriving at an award. This being the case any such an award cannot be said to be unreasonable. On the other hand, if the enforcement of the award is considered to be unreasonable, then why should such a court made an award that the enforcement would be shown to be unreasonable. Did the court not know that the award would be enforced while making the same. This is because a judgment or award of a court cannot be made in vacuum or unenforceable. If such an award cannot be enforced under the circumstances of the case, then such a victory could be termed a ‘pyrrhic victory’ as the awardee would have gained nothing by winning his case but instead had incurred unnecessary expenses in prosecuting the case in the arbitration tribunal. Again, what would make the resisting party to consider the enforcement of the award unreasonable under the circumstances when he is the party against whom the award is </w:t>
      </w:r>
      <w:r w:rsidRPr="00190B3B">
        <w:rPr>
          <w:rFonts w:ascii="Times New Roman" w:hAnsi="Times New Roman" w:cs="Times New Roman"/>
          <w:sz w:val="24"/>
          <w:szCs w:val="24"/>
        </w:rPr>
        <w:lastRenderedPageBreak/>
        <w:t xml:space="preserve">made and should it lay on him to say that the enforcement would be unreasonable? Is he not the person to ensure that the award is complied with in accordance with the decision of the tribunal? These are some of the issues raised in the decision of the US Supreme Court in Bremen’s case, thus the criticisms against the same. This is because the decision seems to make nonsense of the award by giving room to the resisting party to assert that the enforcement of the award would be unreasonable under the circumstances. It should actually lay on the awardee to say that the enforcement of the ward would be unreasonable under the circumstances after considering several factors that could hinder the enforcement of the ward. It is not for the court to accord such a right to the person against whom the award is made or even to state in the judgment of the court as the same is intended to make nonsense of the arbitral award.    </w:t>
      </w:r>
    </w:p>
    <w:p w:rsidR="00512C4F" w:rsidRPr="00190B3B" w:rsidRDefault="00512C4F" w:rsidP="00512C4F">
      <w:pPr>
        <w:autoSpaceDE w:val="0"/>
        <w:autoSpaceDN w:val="0"/>
        <w:adjustRightInd w:val="0"/>
        <w:spacing w:after="240" w:line="360" w:lineRule="auto"/>
        <w:jc w:val="both"/>
        <w:rPr>
          <w:rFonts w:ascii="Times New Roman" w:hAnsi="Times New Roman" w:cs="Times New Roman"/>
          <w:sz w:val="8"/>
          <w:szCs w:val="24"/>
        </w:rPr>
      </w:pPr>
    </w:p>
    <w:p w:rsidR="00512C4F" w:rsidRPr="00190B3B" w:rsidRDefault="00512C4F" w:rsidP="00512C4F">
      <w:pPr>
        <w:pStyle w:val="ListParagraph"/>
        <w:numPr>
          <w:ilvl w:val="0"/>
          <w:numId w:val="31"/>
        </w:numPr>
        <w:spacing w:after="240" w:line="360" w:lineRule="auto"/>
        <w:ind w:left="360"/>
        <w:jc w:val="both"/>
        <w:rPr>
          <w:rFonts w:ascii="Times New Roman" w:hAnsi="Times New Roman" w:cs="Times New Roman"/>
          <w:b/>
          <w:bCs/>
          <w:sz w:val="24"/>
          <w:szCs w:val="24"/>
        </w:rPr>
      </w:pPr>
      <w:r w:rsidRPr="00190B3B">
        <w:rPr>
          <w:rFonts w:ascii="Times New Roman" w:hAnsi="Times New Roman" w:cs="Times New Roman"/>
          <w:b/>
          <w:bCs/>
          <w:sz w:val="24"/>
          <w:szCs w:val="24"/>
        </w:rPr>
        <w:t>INTERNATIONAL STANDARD</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The above positions of the courts and laws in the United Kingdom, Canada and United States of America on this issue of arbitral agreements in admiralty contracts are different from that of Nigeria. Whereas in those countries there are no laws which provide that arbitral agreements with foreign forum in admiralty contracts oust the jurisdiction of the courts there, in Nigeria there is such a law i.e. Section 20 of the Admiralty Jurisdiction Act of 2004.  Indeed, in those other countries, the courts assert that such arbitral agreements do not oust the jurisdiction of the courts.</w:t>
      </w:r>
    </w:p>
    <w:p w:rsidR="00512C4F" w:rsidRPr="00190B3B" w:rsidRDefault="00512C4F" w:rsidP="00512C4F">
      <w:pPr>
        <w:spacing w:after="240" w:line="360" w:lineRule="auto"/>
        <w:jc w:val="both"/>
        <w:rPr>
          <w:rFonts w:ascii="Times New Roman" w:hAnsi="Times New Roman" w:cs="Times New Roman"/>
          <w:sz w:val="24"/>
          <w:szCs w:val="24"/>
        </w:rPr>
      </w:pPr>
      <w:r w:rsidRPr="00190B3B">
        <w:rPr>
          <w:rFonts w:ascii="Times New Roman" w:hAnsi="Times New Roman" w:cs="Times New Roman"/>
          <w:sz w:val="24"/>
          <w:szCs w:val="24"/>
        </w:rPr>
        <w:t>Further, in Nigeria because of the provisions of the above stated section of the Act, the courts do not grant stay of proceedings for the parties to resort to arbitration in foreign forum as agreed by them in their contract except the adverse party submits to jurisdiction and provides security. In the other countries of United Kingdom, Canada and United States of America, the courts abide by the agreement of the parties and grant stay of action for arbitration to be explored except there is any cogent reason not to do so. Consequently, the above positions of the countries of United Kingdom, Canada and United States of America on one side and Nigeria on the other are averse to each other. Since the positions of the other countries are akin to each other, it is submitted that that appears to be the international standard on this issue. Therefore, it is opined that the Nigerian Law and the Courts’ attitude on this issue are not in consonance with the international standard.</w:t>
      </w:r>
    </w:p>
    <w:p w:rsidR="00512C4F" w:rsidRPr="00190B3B" w:rsidRDefault="00512C4F" w:rsidP="00512C4F">
      <w:pPr>
        <w:pStyle w:val="ListParagraph"/>
        <w:numPr>
          <w:ilvl w:val="0"/>
          <w:numId w:val="31"/>
        </w:numPr>
        <w:spacing w:after="240" w:line="360" w:lineRule="auto"/>
        <w:ind w:left="360"/>
        <w:jc w:val="both"/>
        <w:rPr>
          <w:rFonts w:ascii="Times New Roman" w:hAnsi="Times New Roman" w:cs="Times New Roman"/>
          <w:b/>
          <w:bCs/>
          <w:sz w:val="24"/>
          <w:szCs w:val="24"/>
        </w:rPr>
      </w:pPr>
      <w:r w:rsidRPr="00190B3B">
        <w:rPr>
          <w:rFonts w:ascii="Times New Roman" w:hAnsi="Times New Roman" w:cs="Times New Roman"/>
          <w:b/>
          <w:bCs/>
          <w:sz w:val="24"/>
          <w:szCs w:val="24"/>
        </w:rPr>
        <w:lastRenderedPageBreak/>
        <w:t xml:space="preserve">CONCLUSION/RECOMMENDATION </w:t>
      </w:r>
    </w:p>
    <w:p w:rsidR="005E3008" w:rsidRPr="00512C4F" w:rsidRDefault="00512C4F" w:rsidP="00512C4F">
      <w:pPr>
        <w:spacing w:after="240" w:line="360" w:lineRule="auto"/>
        <w:jc w:val="both"/>
      </w:pPr>
      <w:r w:rsidRPr="00190B3B">
        <w:rPr>
          <w:rFonts w:ascii="Times New Roman" w:hAnsi="Times New Roman" w:cs="Times New Roman"/>
          <w:sz w:val="24"/>
          <w:szCs w:val="24"/>
        </w:rPr>
        <w:t xml:space="preserve">In conclusion, it is submitted that Section 20 of Admiralty Jurisdiction Act of Nigeria, 2004, ought not to have been approved and included in the said Act. This is because it is oppressive to the agreement of the parties. Also, it runs contrary to what obtains in other jurisdictions as shown above and so does not accord with the international standard and best practices. Consequently, it is recommended that the above section be expunged from the Admiralty Jurisdiction Act of Nigeria by the amendment of the extant law. In its place provisions of the law reflecting the situations in the above stated countries should be adopted so as to bring the Nigerian position in line with international standard and best practices. </w:t>
      </w:r>
    </w:p>
    <w:sectPr w:rsidR="005E3008" w:rsidRPr="00512C4F" w:rsidSect="005E0F40">
      <w:headerReference w:type="default" r:id="rId7"/>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903" w:rsidRDefault="00AA5903" w:rsidP="005E0F40">
      <w:pPr>
        <w:spacing w:after="0" w:line="240" w:lineRule="auto"/>
      </w:pPr>
      <w:r>
        <w:separator/>
      </w:r>
    </w:p>
  </w:endnote>
  <w:endnote w:type="continuationSeparator" w:id="1">
    <w:p w:rsidR="00AA5903" w:rsidRDefault="00AA5903" w:rsidP="005E0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932815"/>
      <w:docPartObj>
        <w:docPartGallery w:val="Page Numbers (Bottom of Page)"/>
        <w:docPartUnique/>
      </w:docPartObj>
    </w:sdtPr>
    <w:sdtContent>
      <w:p w:rsidR="005E0F40" w:rsidRDefault="005E0F40">
        <w:pPr>
          <w:pStyle w:val="Footer"/>
          <w:jc w:val="center"/>
        </w:pPr>
        <w:fldSimple w:instr=" PAGE   \* MERGEFORMAT ">
          <w:r w:rsidR="00512C4F">
            <w:rPr>
              <w:noProof/>
            </w:rPr>
            <w:t>1</w:t>
          </w:r>
        </w:fldSimple>
      </w:p>
    </w:sdtContent>
  </w:sdt>
  <w:p w:rsidR="005E0F40" w:rsidRDefault="005E0F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903" w:rsidRDefault="00AA5903" w:rsidP="005E0F40">
      <w:pPr>
        <w:spacing w:after="0" w:line="240" w:lineRule="auto"/>
      </w:pPr>
      <w:r>
        <w:separator/>
      </w:r>
    </w:p>
  </w:footnote>
  <w:footnote w:type="continuationSeparator" w:id="1">
    <w:p w:rsidR="00AA5903" w:rsidRDefault="00AA5903" w:rsidP="005E0F40">
      <w:pPr>
        <w:spacing w:after="0" w:line="240" w:lineRule="auto"/>
      </w:pPr>
      <w:r>
        <w:continuationSeparator/>
      </w:r>
    </w:p>
  </w:footnote>
  <w:footnote w:id="2">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t>*</w:t>
      </w:r>
      <w:r w:rsidRPr="00073ED6">
        <w:rPr>
          <w:rFonts w:ascii="Times New Roman" w:hAnsi="Times New Roman" w:cs="Times New Roman"/>
        </w:rPr>
        <w:t xml:space="preserve"> Fabian C. Ikeh, LLB, BL, LLM, PhD (Senior Lecturer), Rivers State University, Nkpolu-Oroworukwo, Port Harcourt, Nigeria, Faculty of Law, Rivers State University, Nkpolu-Oroworukwo, Port Harcourt, Nigeria     Email: fabik_co@yahoo.com  08023149351 or 09057543691</w:t>
      </w:r>
    </w:p>
  </w:footnote>
  <w:footnote w:id="3">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rPr>
        <w:t xml:space="preserve"> See Wilson JF, </w:t>
      </w:r>
      <w:r w:rsidRPr="00073ED6">
        <w:rPr>
          <w:rFonts w:ascii="Times New Roman" w:hAnsi="Times New Roman" w:cs="Times New Roman"/>
          <w:i/>
        </w:rPr>
        <w:t>Carriage of Goods by Sea</w:t>
      </w:r>
      <w:r w:rsidRPr="00073ED6">
        <w:rPr>
          <w:rFonts w:ascii="Times New Roman" w:hAnsi="Times New Roman" w:cs="Times New Roman"/>
        </w:rPr>
        <w:t xml:space="preserve"> (7</w:t>
      </w:r>
      <w:r w:rsidRPr="00073ED6">
        <w:rPr>
          <w:rFonts w:ascii="Times New Roman" w:hAnsi="Times New Roman" w:cs="Times New Roman"/>
          <w:vertAlign w:val="superscript"/>
        </w:rPr>
        <w:t>th</w:t>
      </w:r>
      <w:r w:rsidRPr="00073ED6">
        <w:rPr>
          <w:rFonts w:ascii="Times New Roman" w:hAnsi="Times New Roman" w:cs="Times New Roman"/>
        </w:rPr>
        <w:t xml:space="preserve"> edn. Pearson Education Centre, London 2010) p. 313</w:t>
      </w:r>
    </w:p>
  </w:footnote>
  <w:footnote w:id="4">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rPr>
        <w:t xml:space="preserve">See Bernstein R. et al, </w:t>
      </w:r>
      <w:r w:rsidRPr="00073ED6">
        <w:rPr>
          <w:rFonts w:ascii="Times New Roman" w:hAnsi="Times New Roman" w:cs="Times New Roman"/>
          <w:i/>
        </w:rPr>
        <w:t xml:space="preserve">Handbook on Arbitration Practice </w:t>
      </w:r>
      <w:r w:rsidRPr="00073ED6">
        <w:rPr>
          <w:rFonts w:ascii="Times New Roman" w:hAnsi="Times New Roman" w:cs="Times New Roman"/>
        </w:rPr>
        <w:t>(3</w:t>
      </w:r>
      <w:r w:rsidRPr="00073ED6">
        <w:rPr>
          <w:rFonts w:ascii="Times New Roman" w:hAnsi="Times New Roman" w:cs="Times New Roman"/>
          <w:vertAlign w:val="superscript"/>
        </w:rPr>
        <w:t>rd</w:t>
      </w:r>
      <w:r w:rsidRPr="00073ED6">
        <w:rPr>
          <w:rFonts w:ascii="Times New Roman" w:hAnsi="Times New Roman" w:cs="Times New Roman"/>
        </w:rPr>
        <w:t xml:space="preserve"> edn. Sweet &amp; Maxwell, London 1998) p. 13</w:t>
      </w:r>
    </w:p>
  </w:footnote>
  <w:footnote w:id="5">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i/>
        </w:rPr>
        <w:t xml:space="preserve">Halsbury’s Laws of England vol. 2 </w:t>
      </w:r>
      <w:r w:rsidRPr="00073ED6">
        <w:rPr>
          <w:rFonts w:ascii="Times New Roman" w:hAnsi="Times New Roman" w:cs="Times New Roman"/>
        </w:rPr>
        <w:t>(3</w:t>
      </w:r>
      <w:r w:rsidRPr="00073ED6">
        <w:rPr>
          <w:rFonts w:ascii="Times New Roman" w:hAnsi="Times New Roman" w:cs="Times New Roman"/>
          <w:vertAlign w:val="superscript"/>
        </w:rPr>
        <w:t>rd</w:t>
      </w:r>
      <w:r w:rsidRPr="00073ED6">
        <w:rPr>
          <w:rFonts w:ascii="Times New Roman" w:hAnsi="Times New Roman" w:cs="Times New Roman"/>
        </w:rPr>
        <w:t xml:space="preserve"> edn.Butterworth, London 1964) p. 256, para. 501</w:t>
      </w:r>
    </w:p>
  </w:footnote>
  <w:footnote w:id="6">
    <w:p w:rsidR="00512C4F" w:rsidRPr="00073ED6" w:rsidRDefault="00512C4F" w:rsidP="00512C4F">
      <w:pPr>
        <w:spacing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Mocatta A A et al,</w:t>
      </w:r>
      <w:r w:rsidRPr="00073ED6">
        <w:rPr>
          <w:rFonts w:ascii="Times New Roman" w:hAnsi="Times New Roman" w:cs="Times New Roman"/>
          <w:i/>
          <w:sz w:val="20"/>
          <w:szCs w:val="20"/>
        </w:rPr>
        <w:t xml:space="preserve"> Scrutton on Charterparties and Bills of Lading </w:t>
      </w:r>
      <w:r w:rsidRPr="00073ED6">
        <w:rPr>
          <w:rFonts w:ascii="Times New Roman" w:hAnsi="Times New Roman" w:cs="Times New Roman"/>
          <w:sz w:val="20"/>
          <w:szCs w:val="20"/>
        </w:rPr>
        <w:t>(18</w:t>
      </w:r>
      <w:r w:rsidRPr="00073ED6">
        <w:rPr>
          <w:rFonts w:ascii="Times New Roman" w:hAnsi="Times New Roman" w:cs="Times New Roman"/>
          <w:sz w:val="20"/>
          <w:szCs w:val="20"/>
          <w:vertAlign w:val="superscript"/>
        </w:rPr>
        <w:t>th</w:t>
      </w:r>
      <w:r w:rsidRPr="00073ED6">
        <w:rPr>
          <w:rFonts w:ascii="Times New Roman" w:hAnsi="Times New Roman" w:cs="Times New Roman"/>
          <w:sz w:val="20"/>
          <w:szCs w:val="20"/>
        </w:rPr>
        <w:t xml:space="preserve"> edn. Sweet &amp; Maxwell, London                                                          1974) pp. 26, 255</w:t>
      </w:r>
    </w:p>
    <w:p w:rsidR="00512C4F" w:rsidRPr="00073ED6" w:rsidRDefault="00512C4F" w:rsidP="00512C4F">
      <w:pPr>
        <w:pStyle w:val="FootnoteText"/>
        <w:rPr>
          <w:rFonts w:ascii="Times New Roman" w:hAnsi="Times New Roman" w:cs="Times New Roman"/>
        </w:rPr>
      </w:pPr>
    </w:p>
  </w:footnote>
  <w:footnote w:id="7">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McGuffie KC et al, </w:t>
      </w:r>
      <w:r w:rsidRPr="00073ED6">
        <w:rPr>
          <w:rFonts w:ascii="Times New Roman" w:hAnsi="Times New Roman" w:cs="Times New Roman"/>
          <w:i/>
          <w:sz w:val="20"/>
          <w:szCs w:val="20"/>
        </w:rPr>
        <w:t>British Shipping Laws 1 Admiralty Practice</w:t>
      </w:r>
      <w:r w:rsidRPr="00073ED6">
        <w:rPr>
          <w:rFonts w:ascii="Times New Roman" w:hAnsi="Times New Roman" w:cs="Times New Roman"/>
          <w:sz w:val="20"/>
          <w:szCs w:val="20"/>
        </w:rPr>
        <w:t xml:space="preserve"> (London: Stevens &amp; Sons, 1964) pp. 16, 18</w:t>
      </w:r>
    </w:p>
  </w:footnote>
  <w:footnote w:id="8">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Ibid</w:t>
      </w:r>
    </w:p>
  </w:footnote>
  <w:footnote w:id="9">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rPr>
        <w:t xml:space="preserve"> (n4) </w:t>
      </w:r>
    </w:p>
  </w:footnote>
  <w:footnote w:id="10">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Debattista C, Bills of Lading in Export Trade (3</w:t>
      </w:r>
      <w:r w:rsidRPr="00073ED6">
        <w:rPr>
          <w:rFonts w:ascii="Times New Roman" w:hAnsi="Times New Roman" w:cs="Times New Roman"/>
          <w:sz w:val="20"/>
          <w:szCs w:val="20"/>
          <w:vertAlign w:val="superscript"/>
        </w:rPr>
        <w:t>rd</w:t>
      </w:r>
      <w:r w:rsidRPr="00073ED6">
        <w:rPr>
          <w:rFonts w:ascii="Times New Roman" w:hAnsi="Times New Roman" w:cs="Times New Roman"/>
          <w:sz w:val="20"/>
          <w:szCs w:val="20"/>
        </w:rPr>
        <w:t xml:space="preserve"> edn. London: Tottel Publishing, 2009) p. 189</w:t>
      </w:r>
    </w:p>
  </w:footnote>
  <w:footnote w:id="11">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Baughen S, </w:t>
      </w:r>
      <w:r w:rsidRPr="00073ED6">
        <w:rPr>
          <w:rFonts w:ascii="Times New Roman" w:hAnsi="Times New Roman" w:cs="Times New Roman"/>
          <w:i/>
          <w:sz w:val="20"/>
          <w:szCs w:val="20"/>
        </w:rPr>
        <w:t>Shipping Law</w:t>
      </w:r>
      <w:r w:rsidRPr="00073ED6">
        <w:rPr>
          <w:rFonts w:ascii="Times New Roman" w:hAnsi="Times New Roman" w:cs="Times New Roman"/>
          <w:sz w:val="20"/>
          <w:szCs w:val="20"/>
        </w:rPr>
        <w:t xml:space="preserve"> {3</w:t>
      </w:r>
      <w:r w:rsidRPr="00073ED6">
        <w:rPr>
          <w:rFonts w:ascii="Times New Roman" w:hAnsi="Times New Roman" w:cs="Times New Roman"/>
          <w:sz w:val="20"/>
          <w:szCs w:val="20"/>
          <w:vertAlign w:val="superscript"/>
        </w:rPr>
        <w:t>rd</w:t>
      </w:r>
      <w:r w:rsidRPr="00073ED6">
        <w:rPr>
          <w:rFonts w:ascii="Times New Roman" w:hAnsi="Times New Roman" w:cs="Times New Roman"/>
          <w:sz w:val="20"/>
          <w:szCs w:val="20"/>
        </w:rPr>
        <w:t xml:space="preserve"> edn. London: Cavendish Publishing Limited, 2004) 351</w:t>
      </w:r>
    </w:p>
  </w:footnote>
  <w:footnote w:id="12">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TheOwners of the M.V. Lupex Vs Nigeria Overseas Chartering and Shipping Limited</w:t>
      </w:r>
      <w:r w:rsidRPr="00073ED6">
        <w:rPr>
          <w:rFonts w:ascii="Times New Roman" w:hAnsi="Times New Roman" w:cs="Times New Roman"/>
          <w:sz w:val="20"/>
          <w:szCs w:val="20"/>
        </w:rPr>
        <w:t xml:space="preserve"> (2003) 15 NWLR (Pt.        842) 466 at 469</w:t>
      </w:r>
    </w:p>
  </w:footnote>
  <w:footnote w:id="13">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(n1) pp. 385-86 </w:t>
      </w:r>
    </w:p>
  </w:footnote>
  <w:footnote w:id="14">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rPr>
        <w:t xml:space="preserve"> Cap A5, </w:t>
      </w:r>
      <w:r w:rsidRPr="00073ED6">
        <w:rPr>
          <w:rFonts w:ascii="Times New Roman" w:hAnsi="Times New Roman" w:cs="Times New Roman"/>
          <w:i/>
        </w:rPr>
        <w:t>Laws of the Federation of Nigeria</w:t>
      </w:r>
      <w:r w:rsidRPr="00073ED6">
        <w:rPr>
          <w:rFonts w:ascii="Times New Roman" w:hAnsi="Times New Roman" w:cs="Times New Roman"/>
        </w:rPr>
        <w:t>, 2004</w:t>
      </w:r>
    </w:p>
  </w:footnote>
  <w:footnote w:id="15">
    <w:p w:rsidR="00512C4F" w:rsidRPr="00073ED6" w:rsidRDefault="00512C4F" w:rsidP="00512C4F">
      <w:pPr>
        <w:spacing w:line="36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(2004) 5 NWLR (Pt. 865) 1</w:t>
      </w:r>
    </w:p>
    <w:p w:rsidR="00512C4F" w:rsidRPr="00073ED6" w:rsidRDefault="00512C4F" w:rsidP="00512C4F">
      <w:pPr>
        <w:pStyle w:val="FootnoteText"/>
        <w:rPr>
          <w:rFonts w:ascii="Times New Roman" w:hAnsi="Times New Roman" w:cs="Times New Roman"/>
        </w:rPr>
      </w:pPr>
    </w:p>
  </w:footnote>
  <w:footnote w:id="16">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(2005) 11 CLRN 55  </w:t>
      </w:r>
    </w:p>
  </w:footnote>
  <w:footnote w:id="17">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rPr>
        <w:t xml:space="preserve"> Section 1 of the </w:t>
      </w:r>
      <w:r w:rsidRPr="00073ED6">
        <w:rPr>
          <w:rFonts w:ascii="Times New Roman" w:hAnsi="Times New Roman" w:cs="Times New Roman"/>
          <w:i/>
        </w:rPr>
        <w:t>Admiralty Jurisdiction Act of Nigeria</w:t>
      </w:r>
      <w:r w:rsidRPr="00073ED6">
        <w:rPr>
          <w:rFonts w:ascii="Times New Roman" w:hAnsi="Times New Roman" w:cs="Times New Roman"/>
        </w:rPr>
        <w:t>, 2004, covers matters relating to aircraft contracts</w:t>
      </w:r>
    </w:p>
  </w:footnote>
  <w:footnote w:id="18">
    <w:p w:rsidR="00512C4F" w:rsidRPr="00073ED6" w:rsidRDefault="00512C4F" w:rsidP="00512C4F">
      <w:pPr>
        <w:spacing w:line="36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(2010) 2 NWLR (Pt. 1179) p. 530</w:t>
      </w:r>
    </w:p>
    <w:p w:rsidR="00512C4F" w:rsidRPr="00073ED6" w:rsidRDefault="00512C4F" w:rsidP="00512C4F">
      <w:pPr>
        <w:pStyle w:val="FootnoteText"/>
        <w:rPr>
          <w:rFonts w:ascii="Times New Roman" w:hAnsi="Times New Roman" w:cs="Times New Roman"/>
        </w:rPr>
      </w:pPr>
    </w:p>
  </w:footnote>
  <w:footnote w:id="19">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Wilson JF (2010) pp. 323, 324</w:t>
      </w:r>
    </w:p>
  </w:footnote>
  <w:footnote w:id="20">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Vita Food Product Vs Unus Shipping Co</w:t>
      </w:r>
      <w:r w:rsidRPr="00073ED6">
        <w:rPr>
          <w:rFonts w:ascii="Times New Roman" w:hAnsi="Times New Roman" w:cs="Times New Roman"/>
          <w:sz w:val="20"/>
          <w:szCs w:val="20"/>
        </w:rPr>
        <w:t>. (1939) A.C 277 at 289</w:t>
      </w:r>
    </w:p>
  </w:footnote>
  <w:footnote w:id="21">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Cs/>
          <w:sz w:val="20"/>
          <w:szCs w:val="20"/>
        </w:rPr>
        <w:t>Ibid.</w:t>
      </w:r>
    </w:p>
  </w:footnote>
  <w:footnote w:id="22">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The </w:t>
      </w:r>
      <w:r w:rsidRPr="00073ED6">
        <w:rPr>
          <w:rFonts w:ascii="Times New Roman" w:hAnsi="Times New Roman" w:cs="Times New Roman"/>
          <w:i/>
          <w:sz w:val="20"/>
          <w:szCs w:val="20"/>
        </w:rPr>
        <w:t>Morviken</w:t>
      </w:r>
      <w:r w:rsidRPr="00073ED6">
        <w:rPr>
          <w:rFonts w:ascii="Times New Roman" w:hAnsi="Times New Roman" w:cs="Times New Roman"/>
          <w:sz w:val="20"/>
          <w:szCs w:val="20"/>
        </w:rPr>
        <w:t xml:space="preserve"> (1983) 1 Lloyd’s Rep. 1.</w:t>
      </w:r>
    </w:p>
  </w:footnote>
  <w:footnote w:id="23">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Wilson JF (2010) p. 315.</w:t>
      </w:r>
    </w:p>
  </w:footnote>
  <w:footnote w:id="24">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Akai Pty Ltd v People’s Insurance Co. Ltd</w:t>
      </w:r>
      <w:r w:rsidRPr="00073ED6">
        <w:rPr>
          <w:rFonts w:ascii="Times New Roman" w:hAnsi="Times New Roman" w:cs="Times New Roman"/>
          <w:sz w:val="20"/>
          <w:szCs w:val="20"/>
        </w:rPr>
        <w:t xml:space="preserve"> (1998) 1Lloyd’s Rep. 90 and </w:t>
      </w:r>
      <w:r w:rsidRPr="00073ED6">
        <w:rPr>
          <w:rFonts w:ascii="Times New Roman" w:hAnsi="Times New Roman" w:cs="Times New Roman"/>
          <w:i/>
          <w:sz w:val="20"/>
          <w:szCs w:val="20"/>
        </w:rPr>
        <w:t>OT Africa Line Ltd v Magic Sportswear    Corp.</w:t>
      </w:r>
      <w:r w:rsidRPr="00073ED6">
        <w:rPr>
          <w:rFonts w:ascii="Times New Roman" w:hAnsi="Times New Roman" w:cs="Times New Roman"/>
          <w:sz w:val="20"/>
          <w:szCs w:val="20"/>
        </w:rPr>
        <w:t xml:space="preserve"> (2005) EWCA Civ. 710.</w:t>
      </w:r>
    </w:p>
  </w:footnote>
  <w:footnote w:id="25">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i/>
        </w:rPr>
        <w:t>The Nile Rhapsody</w:t>
      </w:r>
      <w:r w:rsidRPr="00073ED6">
        <w:rPr>
          <w:rFonts w:ascii="Times New Roman" w:hAnsi="Times New Roman" w:cs="Times New Roman"/>
        </w:rPr>
        <w:t xml:space="preserve"> (1994) 1 Lloyd’s Rep. 382</w:t>
      </w:r>
    </w:p>
  </w:footnote>
  <w:footnote w:id="26">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Donohue v Armco Inc</w:t>
      </w:r>
      <w:r w:rsidRPr="00073ED6">
        <w:rPr>
          <w:rFonts w:ascii="Times New Roman" w:hAnsi="Times New Roman" w:cs="Times New Roman"/>
          <w:sz w:val="20"/>
          <w:szCs w:val="20"/>
        </w:rPr>
        <w:t xml:space="preserve"> (2002) 1 Lloyd’s Rep. 425</w:t>
      </w:r>
    </w:p>
  </w:footnote>
  <w:footnote w:id="27">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Baughen S pp. 393-98</w:t>
      </w:r>
    </w:p>
  </w:footnote>
  <w:footnote w:id="28">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The Eleftheria</w:t>
      </w:r>
      <w:r w:rsidRPr="00073ED6">
        <w:rPr>
          <w:rFonts w:ascii="Times New Roman" w:hAnsi="Times New Roman" w:cs="Times New Roman"/>
          <w:sz w:val="20"/>
          <w:szCs w:val="20"/>
        </w:rPr>
        <w:t xml:space="preserve"> (1970) p. 94</w:t>
      </w:r>
    </w:p>
  </w:footnote>
  <w:footnote w:id="29">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The Amira</w:t>
      </w:r>
      <w:r w:rsidRPr="00073ED6">
        <w:rPr>
          <w:rFonts w:ascii="Times New Roman" w:hAnsi="Times New Roman" w:cs="Times New Roman"/>
          <w:sz w:val="20"/>
          <w:szCs w:val="20"/>
        </w:rPr>
        <w:t xml:space="preserve"> (1951) 2 Lloyd’s Rep. 119 </w:t>
      </w:r>
    </w:p>
  </w:footnote>
  <w:footnote w:id="30">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Akai Pty Ltd v Peoples Insurance Co. Ltd</w:t>
      </w:r>
      <w:r w:rsidRPr="00073ED6">
        <w:rPr>
          <w:rFonts w:ascii="Times New Roman" w:hAnsi="Times New Roman" w:cs="Times New Roman"/>
          <w:sz w:val="20"/>
          <w:szCs w:val="20"/>
        </w:rPr>
        <w:t xml:space="preserve"> (1995) 1 Lloyd’s Rep. 90, 104</w:t>
      </w:r>
    </w:p>
  </w:footnote>
  <w:footnote w:id="31">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Mercury Plc v Communication Telesystems Ltd</w:t>
      </w:r>
      <w:r w:rsidRPr="00073ED6">
        <w:rPr>
          <w:rFonts w:ascii="Times New Roman" w:hAnsi="Times New Roman" w:cs="Times New Roman"/>
          <w:sz w:val="20"/>
          <w:szCs w:val="20"/>
        </w:rPr>
        <w:t xml:space="preserve"> (1999) 2 E.R (comm) 33, 40</w:t>
      </w:r>
    </w:p>
  </w:footnote>
  <w:footnote w:id="32">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Baughen S pp. 393-96</w:t>
      </w:r>
    </w:p>
  </w:footnote>
  <w:footnote w:id="33">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Section 9 of the </w:t>
      </w:r>
      <w:r w:rsidRPr="00073ED6">
        <w:rPr>
          <w:rFonts w:ascii="Times New Roman" w:hAnsi="Times New Roman" w:cs="Times New Roman"/>
          <w:i/>
          <w:sz w:val="20"/>
          <w:szCs w:val="20"/>
        </w:rPr>
        <w:t>Arbitration Act,</w:t>
      </w:r>
      <w:r w:rsidRPr="00073ED6">
        <w:rPr>
          <w:rFonts w:ascii="Times New Roman" w:hAnsi="Times New Roman" w:cs="Times New Roman"/>
          <w:sz w:val="20"/>
          <w:szCs w:val="20"/>
        </w:rPr>
        <w:t xml:space="preserve"> 1996</w:t>
      </w:r>
    </w:p>
  </w:footnote>
  <w:footnote w:id="34">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The Amira</w:t>
      </w:r>
      <w:r w:rsidRPr="00073ED6">
        <w:rPr>
          <w:rFonts w:ascii="Times New Roman" w:hAnsi="Times New Roman" w:cs="Times New Roman"/>
          <w:sz w:val="20"/>
          <w:szCs w:val="20"/>
        </w:rPr>
        <w:t xml:space="preserve"> (1951) 2 Lloyd’s Rep. 119</w:t>
      </w:r>
    </w:p>
  </w:footnote>
  <w:footnote w:id="35">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Administration of Justice Act,</w:t>
      </w:r>
      <w:r w:rsidRPr="00073ED6">
        <w:rPr>
          <w:rFonts w:ascii="Times New Roman" w:hAnsi="Times New Roman" w:cs="Times New Roman"/>
          <w:sz w:val="20"/>
          <w:szCs w:val="20"/>
        </w:rPr>
        <w:t xml:space="preserve"> 1970</w:t>
      </w:r>
    </w:p>
  </w:footnote>
  <w:footnote w:id="36">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The Fehmern</w:t>
      </w:r>
      <w:r w:rsidRPr="00073ED6">
        <w:rPr>
          <w:rFonts w:ascii="Times New Roman" w:hAnsi="Times New Roman" w:cs="Times New Roman"/>
          <w:sz w:val="20"/>
          <w:szCs w:val="20"/>
        </w:rPr>
        <w:t xml:space="preserve"> (1958) 1 W.L.R 159</w:t>
      </w:r>
    </w:p>
  </w:footnote>
  <w:footnote w:id="37">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McGuffie KC (1964) p. 18</w:t>
      </w:r>
    </w:p>
  </w:footnote>
  <w:footnote w:id="38">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Commercial Arbitration Act</w:t>
      </w:r>
      <w:r w:rsidRPr="00073ED6">
        <w:rPr>
          <w:rFonts w:ascii="Times New Roman" w:hAnsi="Times New Roman" w:cs="Times New Roman"/>
          <w:sz w:val="20"/>
          <w:szCs w:val="20"/>
        </w:rPr>
        <w:t>, R.S.C. 1985, C.17</w:t>
      </w:r>
    </w:p>
  </w:footnote>
  <w:footnote w:id="39">
    <w:p w:rsidR="00512C4F" w:rsidRPr="00073ED6" w:rsidRDefault="00512C4F" w:rsidP="00512C4F">
      <w:pPr>
        <w:spacing w:after="0" w:line="240" w:lineRule="auto"/>
        <w:rPr>
          <w:rFonts w:ascii="Times New Roman" w:hAnsi="Times New Roman" w:cs="Times New Roman"/>
          <w:i/>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Ibid Section 5</w:t>
      </w:r>
    </w:p>
  </w:footnote>
  <w:footnote w:id="40">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Ontario International Commercial Arbitration Act</w:t>
      </w:r>
      <w:r w:rsidRPr="00073ED6">
        <w:rPr>
          <w:rFonts w:ascii="Times New Roman" w:hAnsi="Times New Roman" w:cs="Times New Roman"/>
          <w:sz w:val="20"/>
          <w:szCs w:val="20"/>
        </w:rPr>
        <w:t xml:space="preserve">, 1990, R.S.O. c.1.9.  </w:t>
      </w:r>
    </w:p>
  </w:footnote>
  <w:footnote w:id="41">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Heintzman T.G, O.C.Q.C et al, </w:t>
      </w:r>
      <w:r w:rsidRPr="00073ED6">
        <w:rPr>
          <w:rFonts w:ascii="Times New Roman" w:hAnsi="Times New Roman" w:cs="Times New Roman"/>
          <w:i/>
          <w:sz w:val="20"/>
          <w:szCs w:val="20"/>
        </w:rPr>
        <w:t>Speech-June-2010: Choice of Law and Forum in International Commercial Arbitrations</w:t>
      </w:r>
      <w:r w:rsidRPr="00073ED6">
        <w:rPr>
          <w:rFonts w:ascii="Times New Roman" w:hAnsi="Times New Roman" w:cs="Times New Roman"/>
          <w:sz w:val="20"/>
          <w:szCs w:val="20"/>
        </w:rPr>
        <w:t>, pp. 1-15</w:t>
      </w:r>
    </w:p>
  </w:footnote>
  <w:footnote w:id="42">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Article 8(1) of International Commercial Arbitration Act of Ontario,</w:t>
      </w:r>
      <w:r w:rsidRPr="00073ED6">
        <w:rPr>
          <w:rFonts w:ascii="Times New Roman" w:hAnsi="Times New Roman" w:cs="Times New Roman"/>
          <w:sz w:val="20"/>
          <w:szCs w:val="20"/>
        </w:rPr>
        <w:t xml:space="preserve"> 1990.</w:t>
      </w:r>
    </w:p>
  </w:footnote>
  <w:footnote w:id="43">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(2003) 64 O.R (3d) 737 at 20; </w:t>
      </w:r>
      <w:r w:rsidRPr="00073ED6">
        <w:rPr>
          <w:rFonts w:ascii="Times New Roman" w:hAnsi="Times New Roman" w:cs="Times New Roman"/>
          <w:i/>
          <w:sz w:val="20"/>
          <w:szCs w:val="20"/>
        </w:rPr>
        <w:t>Dell Computer Corporation v Union des Consummators</w:t>
      </w:r>
      <w:r w:rsidRPr="00073ED6">
        <w:rPr>
          <w:rFonts w:ascii="Times New Roman" w:hAnsi="Times New Roman" w:cs="Times New Roman"/>
          <w:sz w:val="20"/>
          <w:szCs w:val="20"/>
        </w:rPr>
        <w:t xml:space="preserve"> (2007) 2 S.C. R 801     at 52 or (2007) 284 D.L.R (4th) 577 (S.C.C)</w:t>
      </w:r>
    </w:p>
  </w:footnote>
  <w:footnote w:id="44">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Moran v Carbone</w:t>
      </w:r>
      <w:r w:rsidRPr="00073ED6">
        <w:rPr>
          <w:rFonts w:ascii="Times New Roman" w:hAnsi="Times New Roman" w:cs="Times New Roman"/>
          <w:sz w:val="20"/>
          <w:szCs w:val="20"/>
        </w:rPr>
        <w:t xml:space="preserve"> (2005) Canlii 2932 (On. S.C) 1 at 10</w:t>
      </w:r>
    </w:p>
  </w:footnote>
  <w:footnote w:id="45">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Dell Computer Corporation v Union des Consummators, supra</w:t>
      </w:r>
    </w:p>
  </w:footnote>
  <w:footnote w:id="46">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i/>
          <w:sz w:val="20"/>
          <w:szCs w:val="20"/>
        </w:rPr>
        <w:t xml:space="preserve"> GreCon Dimter Inc. V J.R. Normand Inc. </w:t>
      </w:r>
      <w:r w:rsidRPr="00073ED6">
        <w:rPr>
          <w:rFonts w:ascii="Times New Roman" w:hAnsi="Times New Roman" w:cs="Times New Roman"/>
          <w:sz w:val="20"/>
          <w:szCs w:val="20"/>
        </w:rPr>
        <w:t>(2005) S.C.J No. 46 at 25</w:t>
      </w:r>
    </w:p>
  </w:footnote>
  <w:footnote w:id="47">
    <w:p w:rsidR="00512C4F" w:rsidRPr="00073ED6" w:rsidRDefault="00512C4F" w:rsidP="00512C4F">
      <w:pPr>
        <w:pStyle w:val="FootnoteText"/>
        <w:rPr>
          <w:rFonts w:ascii="Times New Roman" w:hAnsi="Times New Roman" w:cs="Times New Roman"/>
        </w:rPr>
      </w:pPr>
      <w:r w:rsidRPr="00073ED6">
        <w:rPr>
          <w:rStyle w:val="FootnoteReference"/>
          <w:rFonts w:ascii="Times New Roman" w:hAnsi="Times New Roman" w:cs="Times New Roman"/>
        </w:rPr>
        <w:footnoteRef/>
      </w:r>
      <w:r w:rsidRPr="00073ED6">
        <w:rPr>
          <w:rFonts w:ascii="Times New Roman" w:hAnsi="Times New Roman" w:cs="Times New Roman"/>
        </w:rPr>
        <w:t xml:space="preserve"> (1972) 2 Lloyd’s Rep. 315</w:t>
      </w:r>
    </w:p>
  </w:footnote>
  <w:footnote w:id="48">
    <w:p w:rsidR="00512C4F" w:rsidRPr="00073ED6" w:rsidRDefault="00512C4F" w:rsidP="00512C4F">
      <w:pPr>
        <w:spacing w:after="0" w:line="240" w:lineRule="auto"/>
        <w:rPr>
          <w:rFonts w:ascii="Times New Roman" w:hAnsi="Times New Roman" w:cs="Times New Roman"/>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For a more detailed exposition on the American position: George A. Zaphiriou, </w:t>
      </w:r>
      <w:r w:rsidRPr="00073ED6">
        <w:rPr>
          <w:rFonts w:ascii="Times New Roman" w:hAnsi="Times New Roman" w:cs="Times New Roman"/>
          <w:iCs/>
          <w:sz w:val="20"/>
          <w:szCs w:val="20"/>
        </w:rPr>
        <w:t>Choice of Forum and Choice of Law Clauses in International Commercial Agreements</w:t>
      </w:r>
      <w:r w:rsidRPr="00073ED6">
        <w:rPr>
          <w:rFonts w:ascii="Times New Roman" w:hAnsi="Times New Roman" w:cs="Times New Roman"/>
          <w:sz w:val="20"/>
          <w:szCs w:val="20"/>
        </w:rPr>
        <w:t>, vol. 3</w:t>
      </w:r>
      <w:r w:rsidRPr="00073ED6">
        <w:rPr>
          <w:rFonts w:ascii="Times New Roman" w:hAnsi="Times New Roman" w:cs="Times New Roman"/>
          <w:i/>
          <w:sz w:val="20"/>
          <w:szCs w:val="20"/>
        </w:rPr>
        <w:t xml:space="preserve"> Md. J. Int'l L</w:t>
      </w:r>
      <w:r w:rsidRPr="00073ED6">
        <w:rPr>
          <w:rFonts w:ascii="Times New Roman" w:hAnsi="Times New Roman" w:cs="Times New Roman"/>
          <w:sz w:val="20"/>
          <w:szCs w:val="20"/>
        </w:rPr>
        <w:t xml:space="preserve">. (1978) 311; Harry Litman, </w:t>
      </w:r>
      <w:r w:rsidRPr="00073ED6">
        <w:rPr>
          <w:rFonts w:ascii="Times New Roman" w:hAnsi="Times New Roman" w:cs="Times New Roman"/>
          <w:iCs/>
          <w:sz w:val="20"/>
          <w:szCs w:val="20"/>
        </w:rPr>
        <w:t>Considerations of Choice of Law in the Doctrine of Forum Non Conveniens</w:t>
      </w:r>
      <w:r w:rsidRPr="00073ED6">
        <w:rPr>
          <w:rFonts w:ascii="Times New Roman" w:hAnsi="Times New Roman" w:cs="Times New Roman"/>
          <w:sz w:val="20"/>
          <w:szCs w:val="20"/>
        </w:rPr>
        <w:t>, vol. 74</w:t>
      </w:r>
      <w:r w:rsidRPr="00073ED6">
        <w:rPr>
          <w:rFonts w:ascii="Times New Roman" w:hAnsi="Times New Roman" w:cs="Times New Roman"/>
          <w:i/>
          <w:sz w:val="20"/>
          <w:szCs w:val="20"/>
        </w:rPr>
        <w:t xml:space="preserve"> Cal. L. Rev.</w:t>
      </w:r>
      <w:r w:rsidRPr="00073ED6">
        <w:rPr>
          <w:rFonts w:ascii="Times New Roman" w:hAnsi="Times New Roman" w:cs="Times New Roman"/>
          <w:sz w:val="20"/>
          <w:szCs w:val="20"/>
        </w:rPr>
        <w:t xml:space="preserve"> (1986) 565; and Kevin M. Clermont, "Governing Law on Forum-Selection Agreements," vol. 66</w:t>
      </w:r>
      <w:r w:rsidRPr="00073ED6">
        <w:rPr>
          <w:rFonts w:ascii="Times New Roman" w:hAnsi="Times New Roman" w:cs="Times New Roman"/>
          <w:i/>
          <w:sz w:val="20"/>
          <w:szCs w:val="20"/>
        </w:rPr>
        <w:t xml:space="preserve"> Hastings Law Journal </w:t>
      </w:r>
      <w:r w:rsidRPr="00073ED6">
        <w:rPr>
          <w:rFonts w:ascii="Times New Roman" w:hAnsi="Times New Roman" w:cs="Times New Roman"/>
          <w:sz w:val="20"/>
          <w:szCs w:val="20"/>
        </w:rPr>
        <w:t xml:space="preserve">(2015)643   </w:t>
      </w:r>
    </w:p>
  </w:footnote>
  <w:footnote w:id="49">
    <w:p w:rsidR="00512C4F" w:rsidRPr="00073ED6" w:rsidRDefault="00512C4F" w:rsidP="00512C4F">
      <w:pPr>
        <w:autoSpaceDE w:val="0"/>
        <w:autoSpaceDN w:val="0"/>
        <w:adjustRightInd w:val="0"/>
        <w:spacing w:after="0" w:line="240" w:lineRule="auto"/>
        <w:rPr>
          <w:rFonts w:ascii="Times New Roman" w:hAnsi="Times New Roman" w:cs="Times New Roman"/>
          <w:i/>
          <w:sz w:val="20"/>
          <w:szCs w:val="20"/>
        </w:rPr>
      </w:pPr>
      <w:r w:rsidRPr="00073ED6">
        <w:rPr>
          <w:rStyle w:val="FootnoteReference"/>
          <w:rFonts w:ascii="Times New Roman" w:hAnsi="Times New Roman" w:cs="Times New Roman"/>
          <w:sz w:val="20"/>
          <w:szCs w:val="20"/>
        </w:rPr>
        <w:footnoteRef/>
      </w:r>
      <w:r w:rsidRPr="00073ED6">
        <w:rPr>
          <w:rFonts w:ascii="Times New Roman" w:hAnsi="Times New Roman" w:cs="Times New Roman"/>
          <w:sz w:val="20"/>
          <w:szCs w:val="20"/>
        </w:rPr>
        <w:t xml:space="preserve"> Linda S. Mullenix, </w:t>
      </w:r>
      <w:r w:rsidRPr="00073ED6">
        <w:rPr>
          <w:rFonts w:ascii="Times New Roman" w:hAnsi="Times New Roman" w:cs="Times New Roman"/>
          <w:iCs/>
          <w:sz w:val="20"/>
          <w:szCs w:val="20"/>
        </w:rPr>
        <w:t>Another Choice of Forum, Another Choice of Law: Consensual Adjudicatory Procedure in Federal Court</w:t>
      </w:r>
      <w:r w:rsidRPr="00073ED6">
        <w:rPr>
          <w:rFonts w:ascii="Times New Roman" w:hAnsi="Times New Roman" w:cs="Times New Roman"/>
          <w:sz w:val="20"/>
          <w:szCs w:val="20"/>
        </w:rPr>
        <w:t xml:space="preserve">, vol. 57 </w:t>
      </w:r>
      <w:r w:rsidRPr="00073ED6">
        <w:rPr>
          <w:rFonts w:ascii="Times New Roman" w:hAnsi="Times New Roman" w:cs="Times New Roman"/>
          <w:i/>
          <w:sz w:val="20"/>
          <w:szCs w:val="20"/>
        </w:rPr>
        <w:t>Fordham L. Rev.</w:t>
      </w:r>
      <w:r w:rsidRPr="00073ED6">
        <w:rPr>
          <w:rFonts w:ascii="Times New Roman" w:hAnsi="Times New Roman" w:cs="Times New Roman"/>
          <w:sz w:val="20"/>
          <w:szCs w:val="20"/>
        </w:rPr>
        <w:t xml:space="preserve"> (1988) 291 and Erin Ann O’Hara and Larry E. Ribstein, </w:t>
      </w:r>
      <w:r w:rsidRPr="00073ED6">
        <w:rPr>
          <w:rFonts w:ascii="Times New Roman" w:hAnsi="Times New Roman" w:cs="Times New Roman"/>
          <w:bCs/>
          <w:sz w:val="20"/>
          <w:szCs w:val="20"/>
        </w:rPr>
        <w:t>Conflict of Laws and Choice of Law,</w:t>
      </w:r>
      <w:r w:rsidRPr="00073ED6">
        <w:rPr>
          <w:rFonts w:ascii="Times New Roman" w:hAnsi="Times New Roman" w:cs="Times New Roman"/>
          <w:i/>
          <w:iCs/>
          <w:sz w:val="20"/>
          <w:szCs w:val="20"/>
        </w:rPr>
        <w:t xml:space="preserve">George Mason University School of Law </w:t>
      </w:r>
      <w:r w:rsidRPr="00073ED6">
        <w:rPr>
          <w:rFonts w:ascii="Times New Roman" w:hAnsi="Times New Roman" w:cs="Times New Roman"/>
          <w:iCs/>
          <w:sz w:val="20"/>
          <w:szCs w:val="20"/>
        </w:rPr>
        <w:t>(1999) 631</w:t>
      </w:r>
    </w:p>
    <w:p w:rsidR="00512C4F" w:rsidRPr="00073ED6" w:rsidRDefault="00512C4F" w:rsidP="00512C4F">
      <w:pPr>
        <w:pStyle w:val="ListParagraph"/>
        <w:spacing w:line="240" w:lineRule="auto"/>
        <w:rPr>
          <w:rFonts w:ascii="Times New Roman" w:hAnsi="Times New Roman" w:cs="Times New Roman"/>
          <w:sz w:val="20"/>
          <w:szCs w:val="20"/>
        </w:rPr>
      </w:pPr>
    </w:p>
    <w:p w:rsidR="00512C4F" w:rsidRPr="00073ED6" w:rsidRDefault="00512C4F" w:rsidP="00512C4F">
      <w:pPr>
        <w:pStyle w:val="FootnoteText"/>
        <w:rPr>
          <w:rFonts w:ascii="Times New Roman" w:hAnsi="Times New Roman" w:cs="Times New Roma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40" w:rsidRDefault="005E0F40" w:rsidP="005E0F40">
    <w:pPr>
      <w:pStyle w:val="Header"/>
    </w:pPr>
    <w:r>
      <w:rPr>
        <w:noProof/>
      </w:rPr>
      <w:drawing>
        <wp:inline distT="0" distB="0" distL="0" distR="0">
          <wp:extent cx="457200" cy="447675"/>
          <wp:effectExtent l="0" t="0" r="0" b="9525"/>
          <wp:docPr id="10" name="Picture 2" descr="Description: 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UST_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447675"/>
                  </a:xfrm>
                  <a:prstGeom prst="rect">
                    <a:avLst/>
                  </a:prstGeom>
                  <a:noFill/>
                  <a:ln>
                    <a:noFill/>
                  </a:ln>
                </pic:spPr>
              </pic:pic>
            </a:graphicData>
          </a:graphic>
        </wp:inline>
      </w:drawing>
    </w:r>
    <w:r w:rsidRPr="00AD16AF">
      <w:rPr>
        <w:sz w:val="17"/>
        <w:szCs w:val="17"/>
      </w:rPr>
      <w:t>Journal of Private and Property Law, Rivers State Unive</w:t>
    </w:r>
    <w:r>
      <w:rPr>
        <w:sz w:val="17"/>
        <w:szCs w:val="17"/>
      </w:rPr>
      <w:t>rsity – ISSN-1119-8206 Vol. 23 (N01) December</w:t>
    </w:r>
    <w:r w:rsidRPr="00AD16AF">
      <w:rPr>
        <w:sz w:val="17"/>
        <w:szCs w:val="17"/>
      </w:rPr>
      <w:t xml:space="preserve"> 202</w:t>
    </w:r>
    <w:r>
      <w:rPr>
        <w:sz w:val="17"/>
        <w:szCs w:val="17"/>
      </w:rPr>
      <w:t>5</w:t>
    </w:r>
    <w:r>
      <w:rPr>
        <w:noProof/>
        <w:sz w:val="18"/>
        <w:szCs w:val="18"/>
      </w:rPr>
      <w:drawing>
        <wp:inline distT="0" distB="0" distL="0" distR="0">
          <wp:extent cx="428625" cy="428625"/>
          <wp:effectExtent l="0" t="0" r="9525" b="9525"/>
          <wp:docPr id="11" name="Picture 1" descr="Description: jour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journal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625" cy="428625"/>
                  </a:xfrm>
                  <a:prstGeom prst="rect">
                    <a:avLst/>
                  </a:prstGeom>
                  <a:noFill/>
                  <a:ln>
                    <a:noFill/>
                  </a:ln>
                </pic:spPr>
              </pic:pic>
            </a:graphicData>
          </a:graphic>
        </wp:inline>
      </w:drawing>
    </w:r>
  </w:p>
  <w:p w:rsidR="005E0F40" w:rsidRDefault="005E0F40">
    <w:pPr>
      <w:pStyle w:val="Header"/>
    </w:pPr>
    <w:r>
      <w:rPr>
        <w:noProof/>
      </w:rPr>
      <w:pict>
        <v:shapetype id="_x0000_t32" coordsize="21600,21600" o:spt="32" o:oned="t" path="m,l21600,21600e" filled="f">
          <v:path arrowok="t" fillok="f" o:connecttype="none"/>
          <o:lock v:ext="edit" shapetype="t"/>
        </v:shapetype>
        <v:shape id="Straight Arrow Connector 3" o:spid="_x0000_s1025" type="#_x0000_t32" style="position:absolute;margin-left:40.5pt;margin-top:1.45pt;width:366.7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" strokecolor="#31849b"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4D726C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4"/>
    <w:multiLevelType w:val="multilevel"/>
    <w:tmpl w:val="000000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43B7CD0"/>
    <w:multiLevelType w:val="hybridMultilevel"/>
    <w:tmpl w:val="5950EB0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9F1E49"/>
    <w:multiLevelType w:val="hybridMultilevel"/>
    <w:tmpl w:val="FAAC22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02426"/>
    <w:multiLevelType w:val="hybridMultilevel"/>
    <w:tmpl w:val="3A7ADD10"/>
    <w:lvl w:ilvl="0" w:tplc="33324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9C726F"/>
    <w:multiLevelType w:val="hybridMultilevel"/>
    <w:tmpl w:val="F578AA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nsid w:val="1999378C"/>
    <w:multiLevelType w:val="hybridMultilevel"/>
    <w:tmpl w:val="28B2896C"/>
    <w:lvl w:ilvl="0" w:tplc="4740C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86D5B"/>
    <w:multiLevelType w:val="multilevel"/>
    <w:tmpl w:val="CB40F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B82081"/>
    <w:multiLevelType w:val="hybridMultilevel"/>
    <w:tmpl w:val="54FCDF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051504"/>
    <w:multiLevelType w:val="hybridMultilevel"/>
    <w:tmpl w:val="9EB88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F7DCD"/>
    <w:multiLevelType w:val="hybridMultilevel"/>
    <w:tmpl w:val="6BCAAAEC"/>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CF7A53"/>
    <w:multiLevelType w:val="hybridMultilevel"/>
    <w:tmpl w:val="325684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9C5B33"/>
    <w:multiLevelType w:val="hybridMultilevel"/>
    <w:tmpl w:val="E410F1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9C685E"/>
    <w:multiLevelType w:val="hybridMultilevel"/>
    <w:tmpl w:val="45DEA32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C0017B0"/>
    <w:multiLevelType w:val="hybridMultilevel"/>
    <w:tmpl w:val="2C064F08"/>
    <w:lvl w:ilvl="0" w:tplc="FFC4C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0F7648"/>
    <w:multiLevelType w:val="hybridMultilevel"/>
    <w:tmpl w:val="33EEBD0A"/>
    <w:lvl w:ilvl="0" w:tplc="0409000F">
      <w:start w:val="1"/>
      <w:numFmt w:val="decimal"/>
      <w:lvlText w:val="%1."/>
      <w:lvlJc w:val="left"/>
      <w:pPr>
        <w:ind w:left="720" w:hanging="360"/>
      </w:pPr>
      <w:rPr>
        <w:rFonts w:hint="default"/>
      </w:rPr>
    </w:lvl>
    <w:lvl w:ilvl="1" w:tplc="D478B9FE">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BF24C9"/>
    <w:multiLevelType w:val="hybridMultilevel"/>
    <w:tmpl w:val="A95EE9BC"/>
    <w:lvl w:ilvl="0" w:tplc="4544A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7A64A1"/>
    <w:multiLevelType w:val="multilevel"/>
    <w:tmpl w:val="E53E3794"/>
    <w:lvl w:ilvl="0">
      <w:start w:val="4"/>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1"/>
      <w:numFmt w:val="lowerRoman"/>
      <w:lvlText w:val="%3."/>
      <w:lvlJc w:val="left"/>
      <w:pPr>
        <w:ind w:left="1440" w:hanging="720"/>
      </w:pPr>
      <w:rPr>
        <w:rFonts w:ascii="Times New Roman" w:eastAsiaTheme="minorHAnsi" w:hAnsi="Times New Roman" w:cs="Times New Roman"/>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nsid w:val="5F4346EF"/>
    <w:multiLevelType w:val="hybridMultilevel"/>
    <w:tmpl w:val="5A828106"/>
    <w:lvl w:ilvl="0" w:tplc="6BC0469A">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5447FB"/>
    <w:multiLevelType w:val="hybridMultilevel"/>
    <w:tmpl w:val="CDBC5FEA"/>
    <w:lvl w:ilvl="0" w:tplc="0409000F">
      <w:start w:val="13"/>
      <w:numFmt w:val="decimal"/>
      <w:lvlText w:val="%1."/>
      <w:lvlJc w:val="left"/>
      <w:pPr>
        <w:ind w:left="9270" w:hanging="360"/>
      </w:pPr>
      <w:rPr>
        <w:rFonts w:hint="default"/>
      </w:rPr>
    </w:lvl>
    <w:lvl w:ilvl="1" w:tplc="04090019">
      <w:start w:val="1"/>
      <w:numFmt w:val="lowerLetter"/>
      <w:lvlText w:val="%2."/>
      <w:lvlJc w:val="left"/>
      <w:pPr>
        <w:ind w:left="1440" w:hanging="360"/>
      </w:pPr>
    </w:lvl>
    <w:lvl w:ilvl="2" w:tplc="1354DA98">
      <w:start w:val="6"/>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E46827"/>
    <w:multiLevelType w:val="hybridMultilevel"/>
    <w:tmpl w:val="C71E77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2F7D55"/>
    <w:multiLevelType w:val="multilevel"/>
    <w:tmpl w:val="E934F4E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29237E3"/>
    <w:multiLevelType w:val="hybridMultilevel"/>
    <w:tmpl w:val="716E24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A12684"/>
    <w:multiLevelType w:val="hybridMultilevel"/>
    <w:tmpl w:val="4B20A3EC"/>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467E41"/>
    <w:multiLevelType w:val="hybridMultilevel"/>
    <w:tmpl w:val="E836E6A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5B03DA"/>
    <w:multiLevelType w:val="hybridMultilevel"/>
    <w:tmpl w:val="93746F1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E1439C1"/>
    <w:multiLevelType w:val="hybridMultilevel"/>
    <w:tmpl w:val="C2C0D218"/>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C3256"/>
    <w:multiLevelType w:val="hybridMultilevel"/>
    <w:tmpl w:val="0ADC07B8"/>
    <w:lvl w:ilvl="0" w:tplc="888E5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166973"/>
    <w:multiLevelType w:val="hybridMultilevel"/>
    <w:tmpl w:val="F594DD1E"/>
    <w:lvl w:ilvl="0" w:tplc="704EC5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3F73BA"/>
    <w:multiLevelType w:val="hybridMultilevel"/>
    <w:tmpl w:val="106C458E"/>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16"/>
  </w:num>
  <w:num w:numId="4">
    <w:abstractNumId w:val="27"/>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9"/>
  </w:num>
  <w:num w:numId="8">
    <w:abstractNumId w:val="22"/>
  </w:num>
  <w:num w:numId="9">
    <w:abstractNumId w:val="11"/>
  </w:num>
  <w:num w:numId="10">
    <w:abstractNumId w:val="8"/>
  </w:num>
  <w:num w:numId="11">
    <w:abstractNumId w:val="28"/>
  </w:num>
  <w:num w:numId="12">
    <w:abstractNumId w:val="7"/>
  </w:num>
  <w:num w:numId="13">
    <w:abstractNumId w:val="13"/>
  </w:num>
  <w:num w:numId="14">
    <w:abstractNumId w:val="21"/>
  </w:num>
  <w:num w:numId="15">
    <w:abstractNumId w:val="12"/>
  </w:num>
  <w:num w:numId="16">
    <w:abstractNumId w:val="9"/>
  </w:num>
  <w:num w:numId="17">
    <w:abstractNumId w:val="4"/>
  </w:num>
  <w:num w:numId="18">
    <w:abstractNumId w:val="0"/>
  </w:num>
  <w:num w:numId="19">
    <w:abstractNumId w:val="5"/>
  </w:num>
  <w:num w:numId="20">
    <w:abstractNumId w:val="14"/>
  </w:num>
  <w:num w:numId="21">
    <w:abstractNumId w:val="17"/>
  </w:num>
  <w:num w:numId="22">
    <w:abstractNumId w:val="18"/>
  </w:num>
  <w:num w:numId="23">
    <w:abstractNumId w:val="10"/>
  </w:num>
  <w:num w:numId="24">
    <w:abstractNumId w:val="23"/>
  </w:num>
  <w:num w:numId="25">
    <w:abstractNumId w:val="25"/>
  </w:num>
  <w:num w:numId="26">
    <w:abstractNumId w:val="19"/>
  </w:num>
  <w:num w:numId="27">
    <w:abstractNumId w:val="20"/>
  </w:num>
  <w:num w:numId="28">
    <w:abstractNumId w:val="24"/>
  </w:num>
  <w:num w:numId="29">
    <w:abstractNumId w:val="3"/>
  </w:num>
  <w:num w:numId="30">
    <w:abstractNumId w:val="30"/>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hdrShapeDefaults>
    <o:shapedefaults v:ext="edit" spidmax="3074"/>
    <o:shapelayout v:ext="edit">
      <o:idmap v:ext="edit" data="1"/>
      <o:rules v:ext="edit">
        <o:r id="V:Rule1" type="connector" idref="#Straight Arrow Connector 3"/>
      </o:rules>
    </o:shapelayout>
  </w:hdrShapeDefaults>
  <w:footnotePr>
    <w:footnote w:id="0"/>
    <w:footnote w:id="1"/>
  </w:footnotePr>
  <w:endnotePr>
    <w:endnote w:id="0"/>
    <w:endnote w:id="1"/>
  </w:endnotePr>
  <w:compat/>
  <w:rsids>
    <w:rsidRoot w:val="005E0F40"/>
    <w:rsid w:val="00317047"/>
    <w:rsid w:val="0044153F"/>
    <w:rsid w:val="00512C4F"/>
    <w:rsid w:val="00531B0B"/>
    <w:rsid w:val="005A12DE"/>
    <w:rsid w:val="005E0F40"/>
    <w:rsid w:val="006B05F6"/>
    <w:rsid w:val="00AA5903"/>
    <w:rsid w:val="00B1359A"/>
    <w:rsid w:val="00C75ACD"/>
    <w:rsid w:val="00CE4DD0"/>
    <w:rsid w:val="00E02A18"/>
    <w:rsid w:val="00F840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40"/>
    <w:pPr>
      <w:spacing w:after="160" w:line="259" w:lineRule="auto"/>
    </w:pPr>
    <w:rPr>
      <w:rFonts w:ascii="Calibri" w:eastAsia="Calibri" w:hAnsi="Calibri" w:cs="SimSun"/>
    </w:rPr>
  </w:style>
  <w:style w:type="paragraph" w:styleId="Heading1">
    <w:name w:val="heading 1"/>
    <w:basedOn w:val="Normal"/>
    <w:next w:val="Normal"/>
    <w:link w:val="Heading1Char"/>
    <w:uiPriority w:val="9"/>
    <w:qFormat/>
    <w:rsid w:val="00317047"/>
    <w:pPr>
      <w:keepNext/>
      <w:keepLines/>
      <w:spacing w:before="360" w:after="80"/>
      <w:outlineLvl w:val="0"/>
    </w:pPr>
    <w:rPr>
      <w:rFonts w:ascii="Calibri Light" w:eastAsia="SimSun" w:hAnsi="Calibri Light"/>
      <w:color w:val="2F5496"/>
      <w:sz w:val="40"/>
      <w:szCs w:val="40"/>
    </w:rPr>
  </w:style>
  <w:style w:type="paragraph" w:styleId="Heading3">
    <w:name w:val="heading 3"/>
    <w:basedOn w:val="Normal"/>
    <w:next w:val="Normal"/>
    <w:link w:val="Heading3Char"/>
    <w:uiPriority w:val="9"/>
    <w:qFormat/>
    <w:rsid w:val="00317047"/>
    <w:pPr>
      <w:keepNext/>
      <w:keepLines/>
      <w:spacing w:before="160" w:after="80"/>
      <w:outlineLvl w:val="2"/>
    </w:pPr>
    <w:rPr>
      <w:rFonts w:eastAsia="SimSun"/>
      <w:color w:val="2F549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ft,fn cafc,Footnote ak,Footnotes,Char Char Char Char Char Char Char Char Char Char Char Char,Footnote Text Char Char Char Char Char Char Char Char Char Char Char Char,Footnote Text Char Char Char Char Char Char Char Char Char Char Char"/>
    <w:basedOn w:val="Normal"/>
    <w:link w:val="FootnoteTextChar"/>
    <w:uiPriority w:val="99"/>
    <w:qFormat/>
    <w:rsid w:val="005E0F40"/>
    <w:pPr>
      <w:spacing w:after="0" w:line="240" w:lineRule="auto"/>
    </w:pPr>
    <w:rPr>
      <w:sz w:val="20"/>
      <w:szCs w:val="20"/>
    </w:rPr>
  </w:style>
  <w:style w:type="character" w:customStyle="1" w:styleId="FootnoteTextChar">
    <w:name w:val="Footnote Text Char"/>
    <w:aliases w:val="fn Char,ft Char,fn cafc Char,Footnote ak Char,Footnotes Char,Char Char Char Char Char Char Char Char Char Char Char Char Char,Footnote Text Char Char Char Char Char Char Char Char Char Char Char Char Char"/>
    <w:basedOn w:val="DefaultParagraphFont"/>
    <w:link w:val="FootnoteText"/>
    <w:uiPriority w:val="99"/>
    <w:qFormat/>
    <w:rsid w:val="005E0F40"/>
    <w:rPr>
      <w:rFonts w:ascii="Calibri" w:eastAsia="Calibri" w:hAnsi="Calibri" w:cs="SimSun"/>
      <w:sz w:val="20"/>
      <w:szCs w:val="20"/>
    </w:rPr>
  </w:style>
  <w:style w:type="character" w:styleId="Emphasis">
    <w:name w:val="Emphasis"/>
    <w:basedOn w:val="DefaultParagraphFont"/>
    <w:uiPriority w:val="20"/>
    <w:qFormat/>
    <w:rsid w:val="005E0F40"/>
    <w:rPr>
      <w:i/>
      <w:iCs/>
    </w:rPr>
  </w:style>
  <w:style w:type="character" w:styleId="FootnoteReference">
    <w:name w:val="footnote reference"/>
    <w:aliases w:val="Ref,de nota al pie, Char Char Char Char,Appel note de bas de p,BVI fnr,Footnote symbol, BVI fnr,Char Char Char Char,Footnote text,EN Footnote Reference,Footnote number,BVI fnr Car Car,BVI fnr Car,BVI fnr Car Car Car Car,BVI fnr Char"/>
    <w:basedOn w:val="DefaultParagraphFont"/>
    <w:link w:val="Char2"/>
    <w:uiPriority w:val="99"/>
    <w:qFormat/>
    <w:rsid w:val="005E0F40"/>
    <w:rPr>
      <w:vertAlign w:val="superscript"/>
    </w:rPr>
  </w:style>
  <w:style w:type="character" w:styleId="Hyperlink">
    <w:name w:val="Hyperlink"/>
    <w:basedOn w:val="DefaultParagraphFont"/>
    <w:uiPriority w:val="99"/>
    <w:rsid w:val="005E0F40"/>
    <w:rPr>
      <w:color w:val="0000FF"/>
      <w:u w:val="single"/>
    </w:rPr>
  </w:style>
  <w:style w:type="paragraph" w:customStyle="1" w:styleId="ListParagraph1">
    <w:name w:val="List Paragraph1"/>
    <w:basedOn w:val="Normal"/>
    <w:uiPriority w:val="34"/>
    <w:qFormat/>
    <w:rsid w:val="005E0F40"/>
    <w:pPr>
      <w:ind w:left="720"/>
      <w:contextualSpacing/>
    </w:pPr>
  </w:style>
  <w:style w:type="paragraph" w:styleId="ListParagraph">
    <w:name w:val="List Paragraph"/>
    <w:basedOn w:val="Normal"/>
    <w:uiPriority w:val="34"/>
    <w:qFormat/>
    <w:rsid w:val="005E0F40"/>
    <w:pPr>
      <w:ind w:left="720"/>
      <w:contextualSpacing/>
    </w:pPr>
  </w:style>
  <w:style w:type="paragraph" w:customStyle="1" w:styleId="Char2">
    <w:name w:val="Char2"/>
    <w:basedOn w:val="Normal"/>
    <w:link w:val="FootnoteReference"/>
    <w:uiPriority w:val="99"/>
    <w:rsid w:val="005E0F40"/>
    <w:pPr>
      <w:spacing w:line="240" w:lineRule="exact"/>
    </w:pPr>
    <w:rPr>
      <w:rFonts w:asciiTheme="minorHAnsi" w:eastAsiaTheme="minorHAnsi" w:hAnsiTheme="minorHAnsi" w:cstheme="minorBidi"/>
      <w:vertAlign w:val="superscript"/>
    </w:rPr>
  </w:style>
  <w:style w:type="paragraph" w:styleId="Header">
    <w:name w:val="header"/>
    <w:basedOn w:val="Normal"/>
    <w:link w:val="HeaderChar"/>
    <w:unhideWhenUsed/>
    <w:rsid w:val="005E0F40"/>
    <w:pPr>
      <w:tabs>
        <w:tab w:val="center" w:pos="4680"/>
        <w:tab w:val="right" w:pos="9360"/>
      </w:tabs>
      <w:spacing w:after="0" w:line="240" w:lineRule="auto"/>
    </w:pPr>
  </w:style>
  <w:style w:type="character" w:customStyle="1" w:styleId="HeaderChar">
    <w:name w:val="Header Char"/>
    <w:basedOn w:val="DefaultParagraphFont"/>
    <w:link w:val="Header"/>
    <w:rsid w:val="005E0F40"/>
    <w:rPr>
      <w:rFonts w:ascii="Calibri" w:eastAsia="Calibri" w:hAnsi="Calibri" w:cs="SimSun"/>
    </w:rPr>
  </w:style>
  <w:style w:type="paragraph" w:styleId="Footer">
    <w:name w:val="footer"/>
    <w:basedOn w:val="Normal"/>
    <w:link w:val="FooterChar"/>
    <w:uiPriority w:val="99"/>
    <w:unhideWhenUsed/>
    <w:rsid w:val="005E0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F40"/>
    <w:rPr>
      <w:rFonts w:ascii="Calibri" w:eastAsia="Calibri" w:hAnsi="Calibri" w:cs="SimSun"/>
    </w:rPr>
  </w:style>
  <w:style w:type="paragraph" w:styleId="BalloonText">
    <w:name w:val="Balloon Text"/>
    <w:basedOn w:val="Normal"/>
    <w:link w:val="BalloonTextChar"/>
    <w:uiPriority w:val="99"/>
    <w:semiHidden/>
    <w:unhideWhenUsed/>
    <w:rsid w:val="005E0F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F40"/>
    <w:rPr>
      <w:rFonts w:ascii="Tahoma" w:eastAsia="Calibri" w:hAnsi="Tahoma" w:cs="Tahoma"/>
      <w:sz w:val="16"/>
      <w:szCs w:val="16"/>
    </w:rPr>
  </w:style>
  <w:style w:type="character" w:customStyle="1" w:styleId="Heading1Char">
    <w:name w:val="Heading 1 Char"/>
    <w:basedOn w:val="DefaultParagraphFont"/>
    <w:link w:val="Heading1"/>
    <w:uiPriority w:val="9"/>
    <w:rsid w:val="00317047"/>
    <w:rPr>
      <w:rFonts w:ascii="Calibri Light" w:eastAsia="SimSun" w:hAnsi="Calibri Light" w:cs="SimSun"/>
      <w:color w:val="2F5496"/>
      <w:sz w:val="40"/>
      <w:szCs w:val="40"/>
    </w:rPr>
  </w:style>
  <w:style w:type="character" w:customStyle="1" w:styleId="Heading3Char">
    <w:name w:val="Heading 3 Char"/>
    <w:basedOn w:val="DefaultParagraphFont"/>
    <w:link w:val="Heading3"/>
    <w:uiPriority w:val="9"/>
    <w:rsid w:val="00317047"/>
    <w:rPr>
      <w:rFonts w:ascii="Calibri" w:eastAsia="SimSun" w:hAnsi="Calibri" w:cs="SimSun"/>
      <w:color w:val="2F5496"/>
      <w:sz w:val="28"/>
      <w:szCs w:val="28"/>
    </w:rPr>
  </w:style>
  <w:style w:type="paragraph" w:styleId="NormalWeb">
    <w:name w:val="Normal (Web)"/>
    <w:basedOn w:val="Normal"/>
    <w:uiPriority w:val="99"/>
    <w:unhideWhenUsed/>
    <w:qFormat/>
    <w:rsid w:val="003170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text-align-justify">
    <w:name w:val="has-text-align-justify"/>
    <w:basedOn w:val="Normal"/>
    <w:uiPriority w:val="99"/>
    <w:rsid w:val="003170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
    <w:name w:val="citation-27"/>
    <w:basedOn w:val="DefaultParagraphFont"/>
    <w:rsid w:val="00317047"/>
  </w:style>
  <w:style w:type="character" w:customStyle="1" w:styleId="citation-26">
    <w:name w:val="citation-26"/>
    <w:basedOn w:val="DefaultParagraphFont"/>
    <w:rsid w:val="00317047"/>
  </w:style>
  <w:style w:type="character" w:customStyle="1" w:styleId="citation-25">
    <w:name w:val="citation-25"/>
    <w:basedOn w:val="DefaultParagraphFont"/>
    <w:rsid w:val="00317047"/>
  </w:style>
  <w:style w:type="character" w:customStyle="1" w:styleId="citation-24">
    <w:name w:val="citation-24"/>
    <w:basedOn w:val="DefaultParagraphFont"/>
    <w:rsid w:val="00317047"/>
  </w:style>
  <w:style w:type="character" w:customStyle="1" w:styleId="citation-19">
    <w:name w:val="citation-19"/>
    <w:basedOn w:val="DefaultParagraphFont"/>
    <w:rsid w:val="00317047"/>
  </w:style>
  <w:style w:type="character" w:customStyle="1" w:styleId="citation-1">
    <w:name w:val="citation-1"/>
    <w:basedOn w:val="DefaultParagraphFont"/>
    <w:rsid w:val="00317047"/>
  </w:style>
  <w:style w:type="character" w:customStyle="1" w:styleId="citation-63">
    <w:name w:val="citation-63"/>
    <w:basedOn w:val="DefaultParagraphFont"/>
    <w:rsid w:val="00317047"/>
  </w:style>
  <w:style w:type="character" w:customStyle="1" w:styleId="citation-65">
    <w:name w:val="citation-65"/>
    <w:basedOn w:val="DefaultParagraphFont"/>
    <w:rsid w:val="00317047"/>
  </w:style>
  <w:style w:type="character" w:customStyle="1" w:styleId="citation-64">
    <w:name w:val="citation-64"/>
    <w:basedOn w:val="DefaultParagraphFont"/>
    <w:rsid w:val="00317047"/>
  </w:style>
  <w:style w:type="character" w:customStyle="1" w:styleId="posted-by">
    <w:name w:val="posted-by"/>
    <w:basedOn w:val="DefaultParagraphFont"/>
    <w:rsid w:val="00317047"/>
  </w:style>
  <w:style w:type="character" w:customStyle="1" w:styleId="author-name">
    <w:name w:val="author-name"/>
    <w:basedOn w:val="DefaultParagraphFont"/>
    <w:rsid w:val="00317047"/>
  </w:style>
  <w:style w:type="character" w:customStyle="1" w:styleId="citation-97">
    <w:name w:val="citation-97"/>
    <w:basedOn w:val="DefaultParagraphFont"/>
    <w:rsid w:val="00317047"/>
  </w:style>
  <w:style w:type="character" w:customStyle="1" w:styleId="citation-116">
    <w:name w:val="citation-116"/>
    <w:basedOn w:val="DefaultParagraphFont"/>
    <w:rsid w:val="00317047"/>
  </w:style>
  <w:style w:type="character" w:customStyle="1" w:styleId="citation-115">
    <w:name w:val="citation-115"/>
    <w:basedOn w:val="DefaultParagraphFont"/>
    <w:rsid w:val="00317047"/>
  </w:style>
  <w:style w:type="character" w:customStyle="1" w:styleId="citation-110">
    <w:name w:val="citation-110"/>
    <w:basedOn w:val="DefaultParagraphFont"/>
    <w:rsid w:val="00317047"/>
  </w:style>
  <w:style w:type="character" w:customStyle="1" w:styleId="citation-109">
    <w:name w:val="citation-109"/>
    <w:basedOn w:val="DefaultParagraphFont"/>
    <w:rsid w:val="00317047"/>
  </w:style>
  <w:style w:type="character" w:customStyle="1" w:styleId="citation-11">
    <w:name w:val="citation-11"/>
    <w:basedOn w:val="DefaultParagraphFont"/>
    <w:rsid w:val="00317047"/>
  </w:style>
  <w:style w:type="character" w:customStyle="1" w:styleId="citation-10">
    <w:name w:val="citation-10"/>
    <w:basedOn w:val="DefaultParagraphFont"/>
    <w:rsid w:val="00317047"/>
  </w:style>
  <w:style w:type="character" w:customStyle="1" w:styleId="citation-9">
    <w:name w:val="citation-9"/>
    <w:basedOn w:val="DefaultParagraphFont"/>
    <w:rsid w:val="00317047"/>
  </w:style>
  <w:style w:type="character" w:customStyle="1" w:styleId="citation-8">
    <w:name w:val="citation-8"/>
    <w:basedOn w:val="DefaultParagraphFont"/>
    <w:rsid w:val="00317047"/>
  </w:style>
  <w:style w:type="character" w:customStyle="1" w:styleId="citation-7">
    <w:name w:val="citation-7"/>
    <w:basedOn w:val="DefaultParagraphFont"/>
    <w:rsid w:val="00317047"/>
  </w:style>
  <w:style w:type="character" w:customStyle="1" w:styleId="citation-6">
    <w:name w:val="citation-6"/>
    <w:basedOn w:val="DefaultParagraphFont"/>
    <w:rsid w:val="00317047"/>
  </w:style>
  <w:style w:type="character" w:customStyle="1" w:styleId="meta-author">
    <w:name w:val="meta-author"/>
    <w:basedOn w:val="DefaultParagraphFont"/>
    <w:rsid w:val="00317047"/>
  </w:style>
  <w:style w:type="character" w:customStyle="1" w:styleId="citation-2">
    <w:name w:val="citation-2"/>
    <w:basedOn w:val="DefaultParagraphFont"/>
    <w:rsid w:val="00317047"/>
  </w:style>
  <w:style w:type="character" w:customStyle="1" w:styleId="citation-0">
    <w:name w:val="citation-0"/>
    <w:basedOn w:val="DefaultParagraphFont"/>
    <w:rsid w:val="00317047"/>
  </w:style>
  <w:style w:type="character" w:styleId="Strong">
    <w:name w:val="Strong"/>
    <w:basedOn w:val="DefaultParagraphFont"/>
    <w:uiPriority w:val="22"/>
    <w:qFormat/>
    <w:rsid w:val="00317047"/>
    <w:rPr>
      <w:b/>
      <w:bCs/>
    </w:rPr>
  </w:style>
  <w:style w:type="paragraph" w:styleId="NoSpacing">
    <w:name w:val="No Spacing"/>
    <w:uiPriority w:val="1"/>
    <w:qFormat/>
    <w:rsid w:val="00B1359A"/>
    <w:pPr>
      <w:spacing w:after="0" w:line="240" w:lineRule="auto"/>
    </w:pPr>
  </w:style>
  <w:style w:type="paragraph" w:styleId="Quote">
    <w:name w:val="Quote"/>
    <w:basedOn w:val="Normal"/>
    <w:next w:val="Normal"/>
    <w:link w:val="QuoteChar1"/>
    <w:uiPriority w:val="29"/>
    <w:qFormat/>
    <w:rsid w:val="00B1359A"/>
    <w:pPr>
      <w:spacing w:after="200" w:line="276" w:lineRule="auto"/>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B1359A"/>
    <w:rPr>
      <w:rFonts w:ascii="Calibri" w:eastAsia="Calibri" w:hAnsi="Calibri" w:cs="SimSun"/>
      <w:i/>
      <w:iCs/>
      <w:color w:val="000000" w:themeColor="text1"/>
    </w:rPr>
  </w:style>
  <w:style w:type="character" w:customStyle="1" w:styleId="QuoteChar1">
    <w:name w:val="Quote Char1"/>
    <w:basedOn w:val="DefaultParagraphFont"/>
    <w:link w:val="Quote"/>
    <w:uiPriority w:val="29"/>
    <w:rsid w:val="00B1359A"/>
    <w:rPr>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5016</Words>
  <Characters>28596</Characters>
  <Application>Microsoft Office Word</Application>
  <DocSecurity>0</DocSecurity>
  <Lines>238</Lines>
  <Paragraphs>67</Paragraphs>
  <ScaleCrop>false</ScaleCrop>
  <Company/>
  <LinksUpToDate>false</LinksUpToDate>
  <CharactersWithSpaces>33545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Kalu</dc:creator>
  <cp:lastModifiedBy>David Kalu</cp:lastModifiedBy>
  <cp:revision>2</cp:revision>
  <dcterms:created xsi:type="dcterms:W3CDTF">2025-12-19T20:57:00Z</dcterms:created>
  <dcterms:modified xsi:type="dcterms:W3CDTF">2025-12-19T20:57:00Z</dcterms:modified>
</cp:coreProperties>
</file>